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15BC" w14:textId="02B4061C" w:rsidR="00B11B28" w:rsidRDefault="00222537">
      <w:pPr>
        <w:spacing w:after="60" w:line="240" w:lineRule="auto"/>
        <w:jc w:val="center"/>
        <w:rPr>
          <w:b/>
        </w:rPr>
      </w:pPr>
      <w:r>
        <w:rPr>
          <w:b/>
        </w:rPr>
        <w:t>ZMLUVA O VYKONANÍ DOHĽADU NAD PRACOVNÝMI PODMIENKAMI</w:t>
      </w:r>
    </w:p>
    <w:p w14:paraId="5776B0F3" w14:textId="77777777" w:rsidR="00B11B28" w:rsidRDefault="00222537">
      <w:pPr>
        <w:spacing w:after="60" w:line="240" w:lineRule="auto"/>
        <w:jc w:val="center"/>
        <w:rPr>
          <w:sz w:val="20"/>
        </w:rPr>
      </w:pPr>
      <w:r>
        <w:rPr>
          <w:sz w:val="20"/>
        </w:rPr>
        <w:t xml:space="preserve">Uzatvorená podľa  </w:t>
      </w:r>
      <w:bookmarkStart w:id="0" w:name="_Hlk1915804"/>
      <w:r>
        <w:rPr>
          <w:sz w:val="20"/>
        </w:rPr>
        <w:t xml:space="preserve">§ </w:t>
      </w:r>
      <w:bookmarkEnd w:id="0"/>
      <w:r>
        <w:rPr>
          <w:sz w:val="20"/>
        </w:rPr>
        <w:t>269 ods. 2 Zákona č. 513/1991 Zb. Obchodný zákonník</w:t>
      </w:r>
    </w:p>
    <w:p w14:paraId="7F6F4A71" w14:textId="77777777" w:rsidR="00B11B28" w:rsidRDefault="00222537">
      <w:pPr>
        <w:spacing w:after="60" w:line="240" w:lineRule="auto"/>
        <w:jc w:val="center"/>
        <w:rPr>
          <w:sz w:val="20"/>
        </w:rPr>
      </w:pPr>
      <w:r>
        <w:rPr>
          <w:sz w:val="20"/>
        </w:rPr>
        <w:t>V znení neskorších zmien a doplnkov</w:t>
      </w:r>
    </w:p>
    <w:p w14:paraId="6B87CE07" w14:textId="77777777" w:rsidR="00B11B28" w:rsidRDefault="00B11B28">
      <w:pPr>
        <w:jc w:val="center"/>
      </w:pPr>
    </w:p>
    <w:p w14:paraId="53F7E1D8" w14:textId="77777777" w:rsidR="00B11B28" w:rsidRDefault="00222537">
      <w:pPr>
        <w:jc w:val="center"/>
        <w:rPr>
          <w:b/>
        </w:rPr>
      </w:pPr>
      <w:r>
        <w:rPr>
          <w:b/>
        </w:rPr>
        <w:t>Zmluvné strany</w:t>
      </w:r>
    </w:p>
    <w:p w14:paraId="67A00CAF" w14:textId="77777777" w:rsidR="00B11B28" w:rsidRDefault="00222537">
      <w:pPr>
        <w:shd w:val="clear" w:color="auto" w:fill="FFFFFF"/>
        <w:spacing w:after="0" w:line="240" w:lineRule="auto"/>
        <w:jc w:val="both"/>
      </w:pPr>
      <w:r>
        <w:rPr>
          <w:rFonts w:eastAsia="Times New Roman" w:cs="Arial"/>
          <w:b/>
          <w:bCs/>
          <w:color w:val="000000"/>
          <w:sz w:val="20"/>
          <w:szCs w:val="20"/>
          <w:lang w:eastAsia="sk-SK"/>
        </w:rPr>
        <w:t>Objednávateľ</w:t>
      </w:r>
    </w:p>
    <w:p w14:paraId="4DC55E46" w14:textId="3DF49968" w:rsidR="00474ED3" w:rsidRDefault="00474ED3" w:rsidP="000162E4">
      <w:pPr>
        <w:spacing w:after="0" w:line="240" w:lineRule="auto"/>
        <w:rPr>
          <w:rFonts w:eastAsia="Times New Roman" w:cs="Arial"/>
          <w:sz w:val="20"/>
          <w:szCs w:val="20"/>
          <w:lang w:eastAsia="sk-SK"/>
        </w:rPr>
      </w:pPr>
      <w:r>
        <w:rPr>
          <w:rFonts w:eastAsia="Times New Roman" w:cs="Arial"/>
          <w:sz w:val="20"/>
          <w:szCs w:val="20"/>
          <w:lang w:eastAsia="sk-SK"/>
        </w:rPr>
        <w:t>Obchodný názov:</w:t>
      </w:r>
      <w:r w:rsidR="00675B01">
        <w:rPr>
          <w:rFonts w:eastAsia="Times New Roman" w:cs="Arial"/>
          <w:sz w:val="20"/>
          <w:szCs w:val="20"/>
          <w:lang w:eastAsia="sk-SK"/>
        </w:rPr>
        <w:tab/>
      </w:r>
      <w:r w:rsidR="00675B01">
        <w:rPr>
          <w:rFonts w:eastAsia="Times New Roman" w:cs="Arial"/>
          <w:sz w:val="20"/>
          <w:szCs w:val="20"/>
          <w:lang w:eastAsia="sk-SK"/>
        </w:rPr>
        <w:tab/>
      </w:r>
      <w:r w:rsidR="00735D92" w:rsidRPr="00735D92">
        <w:rPr>
          <w:rFonts w:eastAsia="Times New Roman" w:cs="Arial"/>
          <w:sz w:val="20"/>
          <w:szCs w:val="20"/>
          <w:lang w:eastAsia="sk-SK"/>
        </w:rPr>
        <w:t>Sociáln</w:t>
      </w:r>
      <w:r w:rsidR="00735D92">
        <w:rPr>
          <w:rFonts w:eastAsia="Times New Roman" w:cs="Arial"/>
          <w:sz w:val="20"/>
          <w:szCs w:val="20"/>
          <w:lang w:eastAsia="sk-SK"/>
        </w:rPr>
        <w:t>y</w:t>
      </w:r>
      <w:r w:rsidR="00735D92" w:rsidRPr="00735D92">
        <w:rPr>
          <w:rFonts w:eastAsia="Times New Roman" w:cs="Arial"/>
          <w:sz w:val="20"/>
          <w:szCs w:val="20"/>
          <w:lang w:eastAsia="sk-SK"/>
        </w:rPr>
        <w:t xml:space="preserve"> podnik mesta Senica, </w:t>
      </w:r>
      <w:proofErr w:type="spellStart"/>
      <w:r w:rsidR="00735D92" w:rsidRPr="00735D92">
        <w:rPr>
          <w:rFonts w:eastAsia="Times New Roman" w:cs="Arial"/>
          <w:sz w:val="20"/>
          <w:szCs w:val="20"/>
          <w:lang w:eastAsia="sk-SK"/>
        </w:rPr>
        <w:t>s.r.o</w:t>
      </w:r>
      <w:proofErr w:type="spellEnd"/>
      <w:r w:rsidR="00735D92" w:rsidRPr="00735D92">
        <w:rPr>
          <w:rFonts w:eastAsia="Times New Roman" w:cs="Arial"/>
          <w:sz w:val="20"/>
          <w:szCs w:val="20"/>
          <w:lang w:eastAsia="sk-SK"/>
        </w:rPr>
        <w:t>.</w:t>
      </w:r>
    </w:p>
    <w:p w14:paraId="02898786" w14:textId="67865436" w:rsidR="000162E4" w:rsidRDefault="000162E4" w:rsidP="000162E4">
      <w:pPr>
        <w:spacing w:after="0" w:line="240" w:lineRule="auto"/>
      </w:pPr>
      <w:r>
        <w:rPr>
          <w:rFonts w:eastAsia="Times New Roman" w:cs="Arial"/>
          <w:sz w:val="20"/>
          <w:szCs w:val="20"/>
          <w:lang w:eastAsia="sk-SK"/>
        </w:rPr>
        <w:t>Zastúpený :</w:t>
      </w:r>
      <w:r>
        <w:rPr>
          <w:rFonts w:eastAsia="Times New Roman" w:cs="Arial"/>
          <w:sz w:val="20"/>
          <w:szCs w:val="20"/>
          <w:lang w:eastAsia="sk-SK"/>
        </w:rPr>
        <w:tab/>
      </w:r>
      <w:r>
        <w:rPr>
          <w:rFonts w:eastAsia="Times New Roman" w:cs="Arial"/>
          <w:sz w:val="20"/>
          <w:szCs w:val="20"/>
          <w:lang w:eastAsia="sk-SK"/>
        </w:rPr>
        <w:tab/>
      </w:r>
      <w:r w:rsidR="000A2512">
        <w:rPr>
          <w:rFonts w:eastAsia="Times New Roman" w:cs="Arial"/>
          <w:sz w:val="20"/>
          <w:szCs w:val="20"/>
          <w:lang w:eastAsia="sk-SK"/>
        </w:rPr>
        <w:t xml:space="preserve">Ing. Nora </w:t>
      </w:r>
      <w:proofErr w:type="spellStart"/>
      <w:r w:rsidR="000A2512">
        <w:rPr>
          <w:rFonts w:eastAsia="Times New Roman" w:cs="Arial"/>
          <w:sz w:val="20"/>
          <w:szCs w:val="20"/>
          <w:lang w:eastAsia="sk-SK"/>
        </w:rPr>
        <w:t>Černáčková</w:t>
      </w:r>
      <w:proofErr w:type="spellEnd"/>
      <w:r w:rsidR="000A2512">
        <w:rPr>
          <w:rFonts w:eastAsia="Times New Roman" w:cs="Arial"/>
          <w:sz w:val="20"/>
          <w:szCs w:val="20"/>
          <w:lang w:eastAsia="sk-SK"/>
        </w:rPr>
        <w:t>, konateľka</w:t>
      </w:r>
    </w:p>
    <w:p w14:paraId="7120CEA8" w14:textId="1E067839" w:rsidR="000162E4" w:rsidRDefault="000162E4" w:rsidP="000162E4">
      <w:pPr>
        <w:spacing w:after="0" w:line="240" w:lineRule="auto"/>
      </w:pPr>
      <w:r>
        <w:rPr>
          <w:rFonts w:eastAsia="Times New Roman" w:cs="Arial"/>
          <w:sz w:val="20"/>
          <w:szCs w:val="20"/>
          <w:lang w:eastAsia="sk-SK"/>
        </w:rPr>
        <w:t>Sídlo:</w:t>
      </w:r>
      <w:r>
        <w:rPr>
          <w:rFonts w:eastAsia="Times New Roman" w:cs="Arial"/>
          <w:sz w:val="20"/>
          <w:szCs w:val="20"/>
          <w:lang w:eastAsia="sk-SK"/>
        </w:rPr>
        <w:tab/>
      </w:r>
      <w:r>
        <w:rPr>
          <w:rFonts w:eastAsia="Times New Roman" w:cs="Arial"/>
          <w:sz w:val="20"/>
          <w:szCs w:val="20"/>
          <w:lang w:eastAsia="sk-SK"/>
        </w:rPr>
        <w:tab/>
      </w:r>
      <w:r>
        <w:rPr>
          <w:rFonts w:eastAsia="Times New Roman" w:cs="Arial"/>
          <w:sz w:val="20"/>
          <w:szCs w:val="20"/>
          <w:lang w:eastAsia="sk-SK"/>
        </w:rPr>
        <w:tab/>
      </w:r>
      <w:r w:rsidR="000A2512">
        <w:rPr>
          <w:rFonts w:eastAsia="Times New Roman" w:cs="Arial"/>
          <w:sz w:val="20"/>
          <w:szCs w:val="20"/>
          <w:lang w:eastAsia="sk-SK"/>
        </w:rPr>
        <w:t>Štefánikova 1318/69, 905 01 Senica</w:t>
      </w:r>
    </w:p>
    <w:p w14:paraId="12A4FEF8" w14:textId="131B7F46" w:rsidR="000162E4" w:rsidRDefault="000162E4" w:rsidP="000162E4">
      <w:pPr>
        <w:spacing w:after="0" w:line="240" w:lineRule="auto"/>
        <w:rPr>
          <w:rFonts w:ascii="Calibri" w:eastAsia="Times New Roman" w:hAnsi="Calibri" w:cs="Arial"/>
          <w:sz w:val="20"/>
          <w:szCs w:val="20"/>
          <w:lang w:eastAsia="sk-SK"/>
        </w:rPr>
      </w:pPr>
      <w:r>
        <w:rPr>
          <w:rFonts w:eastAsia="Times New Roman" w:cs="Arial"/>
          <w:sz w:val="20"/>
          <w:szCs w:val="20"/>
          <w:lang w:eastAsia="sk-SK"/>
        </w:rPr>
        <w:t>IČO :</w:t>
      </w:r>
      <w:r>
        <w:rPr>
          <w:rFonts w:eastAsia="Times New Roman" w:cs="Arial"/>
          <w:sz w:val="20"/>
          <w:szCs w:val="20"/>
          <w:lang w:eastAsia="sk-SK"/>
        </w:rPr>
        <w:tab/>
      </w:r>
      <w:r>
        <w:rPr>
          <w:rFonts w:eastAsia="Times New Roman" w:cs="Arial"/>
          <w:sz w:val="20"/>
          <w:szCs w:val="20"/>
          <w:lang w:eastAsia="sk-SK"/>
        </w:rPr>
        <w:tab/>
      </w:r>
      <w:r>
        <w:rPr>
          <w:rFonts w:eastAsia="Times New Roman" w:cs="Arial"/>
          <w:sz w:val="20"/>
          <w:szCs w:val="20"/>
          <w:lang w:eastAsia="sk-SK"/>
        </w:rPr>
        <w:tab/>
      </w:r>
      <w:r w:rsidR="000A2512">
        <w:rPr>
          <w:rFonts w:eastAsia="Times New Roman" w:cs="Arial"/>
          <w:sz w:val="20"/>
          <w:szCs w:val="20"/>
          <w:lang w:eastAsia="sk-SK"/>
        </w:rPr>
        <w:t>53478495</w:t>
      </w:r>
    </w:p>
    <w:p w14:paraId="5ED624EB" w14:textId="7E0A3F63" w:rsidR="000162E4" w:rsidRDefault="000162E4" w:rsidP="000162E4">
      <w:pPr>
        <w:spacing w:after="0" w:line="240" w:lineRule="auto"/>
        <w:rPr>
          <w:rFonts w:ascii="Calibri" w:eastAsia="Times New Roman" w:hAnsi="Calibri" w:cs="Arial"/>
          <w:b/>
          <w:sz w:val="20"/>
          <w:szCs w:val="20"/>
          <w:lang w:eastAsia="sk-SK"/>
        </w:rPr>
      </w:pPr>
      <w:r>
        <w:rPr>
          <w:rFonts w:eastAsia="Times New Roman" w:cs="Arial"/>
          <w:sz w:val="20"/>
          <w:szCs w:val="20"/>
          <w:lang w:eastAsia="sk-SK"/>
        </w:rPr>
        <w:t>DIČ:</w:t>
      </w:r>
      <w:r>
        <w:rPr>
          <w:rFonts w:eastAsia="Times New Roman" w:cs="Arial"/>
          <w:sz w:val="20"/>
          <w:szCs w:val="20"/>
          <w:lang w:eastAsia="sk-SK"/>
        </w:rPr>
        <w:tab/>
      </w:r>
      <w:r>
        <w:rPr>
          <w:rFonts w:eastAsia="Times New Roman" w:cs="Arial"/>
          <w:sz w:val="20"/>
          <w:szCs w:val="20"/>
          <w:lang w:eastAsia="sk-SK"/>
        </w:rPr>
        <w:tab/>
      </w:r>
      <w:r>
        <w:rPr>
          <w:rFonts w:eastAsia="Times New Roman" w:cs="Arial"/>
          <w:sz w:val="20"/>
          <w:szCs w:val="20"/>
          <w:lang w:eastAsia="sk-SK"/>
        </w:rPr>
        <w:tab/>
      </w:r>
      <w:r w:rsidR="000A2512">
        <w:rPr>
          <w:rFonts w:eastAsia="Times New Roman" w:cs="Arial"/>
          <w:sz w:val="20"/>
          <w:szCs w:val="20"/>
          <w:lang w:eastAsia="sk-SK"/>
        </w:rPr>
        <w:t>2121384706</w:t>
      </w:r>
    </w:p>
    <w:p w14:paraId="74E19C24" w14:textId="61C42862" w:rsidR="00B11B28" w:rsidRDefault="00222537">
      <w:pPr>
        <w:shd w:val="clear" w:color="auto" w:fill="FFFFFF"/>
        <w:spacing w:after="0" w:line="240" w:lineRule="auto"/>
        <w:jc w:val="both"/>
      </w:pPr>
      <w:r>
        <w:rPr>
          <w:rFonts w:eastAsia="Times New Roman" w:cs="Arial"/>
          <w:sz w:val="20"/>
          <w:szCs w:val="20"/>
          <w:lang w:eastAsia="sk-SK"/>
        </w:rPr>
        <w:tab/>
      </w:r>
    </w:p>
    <w:p w14:paraId="0E300A51" w14:textId="77777777" w:rsidR="00B11B28" w:rsidRDefault="00222537">
      <w:pPr>
        <w:tabs>
          <w:tab w:val="left" w:pos="1080"/>
        </w:tabs>
        <w:spacing w:after="0" w:line="240" w:lineRule="auto"/>
        <w:rPr>
          <w:rFonts w:ascii="Calibri" w:eastAsia="Times New Roman" w:hAnsi="Calibri" w:cs="Arial"/>
          <w:sz w:val="20"/>
          <w:szCs w:val="20"/>
          <w:lang w:eastAsia="sk-SK"/>
        </w:rPr>
      </w:pPr>
      <w:r>
        <w:rPr>
          <w:rFonts w:eastAsia="Times New Roman" w:cs="Arial"/>
          <w:sz w:val="20"/>
          <w:szCs w:val="20"/>
          <w:lang w:eastAsia="sk-SK"/>
        </w:rPr>
        <w:t xml:space="preserve">ďalej „objednávateľ“       </w:t>
      </w:r>
    </w:p>
    <w:p w14:paraId="64087501" w14:textId="77777777" w:rsidR="00B11B28" w:rsidRDefault="00222537">
      <w:pPr>
        <w:tabs>
          <w:tab w:val="left" w:pos="1080"/>
        </w:tabs>
        <w:spacing w:after="0" w:line="240" w:lineRule="auto"/>
        <w:ind w:left="1080" w:hanging="360"/>
        <w:rPr>
          <w:rFonts w:ascii="Calibri" w:eastAsia="Times New Roman" w:hAnsi="Calibri" w:cs="Arial"/>
          <w:sz w:val="20"/>
          <w:szCs w:val="20"/>
          <w:lang w:eastAsia="sk-SK"/>
        </w:rPr>
      </w:pPr>
      <w:r>
        <w:rPr>
          <w:rFonts w:eastAsia="Times New Roman" w:cs="Arial"/>
          <w:sz w:val="20"/>
          <w:szCs w:val="20"/>
          <w:lang w:eastAsia="sk-SK"/>
        </w:rPr>
        <w:t xml:space="preserve">                             </w:t>
      </w:r>
    </w:p>
    <w:p w14:paraId="337D8E51" w14:textId="77777777" w:rsidR="00B11B28" w:rsidRDefault="00222537">
      <w:pPr>
        <w:tabs>
          <w:tab w:val="left" w:pos="1080"/>
        </w:tabs>
        <w:spacing w:after="0" w:line="240" w:lineRule="auto"/>
        <w:ind w:left="1080" w:hanging="360"/>
        <w:rPr>
          <w:rFonts w:ascii="Calibri" w:eastAsia="Times New Roman" w:hAnsi="Calibri" w:cs="Arial"/>
          <w:sz w:val="20"/>
          <w:szCs w:val="20"/>
          <w:lang w:eastAsia="sk-SK"/>
        </w:rPr>
      </w:pPr>
      <w:r>
        <w:rPr>
          <w:rFonts w:eastAsia="Times New Roman" w:cs="Arial"/>
          <w:sz w:val="20"/>
          <w:szCs w:val="20"/>
          <w:lang w:eastAsia="sk-SK"/>
        </w:rPr>
        <w:t>a</w:t>
      </w:r>
    </w:p>
    <w:p w14:paraId="72C982ED" w14:textId="77777777" w:rsidR="00B11B28" w:rsidRDefault="00222537">
      <w:pPr>
        <w:tabs>
          <w:tab w:val="left" w:pos="1080"/>
        </w:tabs>
        <w:spacing w:after="0" w:line="240" w:lineRule="auto"/>
        <w:ind w:left="1080" w:hanging="360"/>
        <w:rPr>
          <w:rFonts w:ascii="Calibri" w:eastAsia="Times New Roman" w:hAnsi="Calibri" w:cs="Arial"/>
          <w:sz w:val="20"/>
          <w:szCs w:val="20"/>
          <w:lang w:eastAsia="sk-SK"/>
        </w:rPr>
      </w:pPr>
      <w:r>
        <w:rPr>
          <w:rFonts w:eastAsia="Times New Roman" w:cs="Arial"/>
          <w:sz w:val="20"/>
          <w:szCs w:val="20"/>
          <w:lang w:eastAsia="sk-SK"/>
        </w:rPr>
        <w:t xml:space="preserve">           </w:t>
      </w:r>
    </w:p>
    <w:p w14:paraId="1398351A" w14:textId="0236EB28" w:rsidR="00B11B28" w:rsidRPr="00474ED3" w:rsidRDefault="00222537" w:rsidP="00474ED3">
      <w:pPr>
        <w:shd w:val="clear" w:color="auto" w:fill="FFFFFF"/>
        <w:spacing w:after="0" w:line="240" w:lineRule="auto"/>
        <w:ind w:right="6720"/>
        <w:jc w:val="both"/>
        <w:rPr>
          <w:rFonts w:ascii="Calibri" w:eastAsia="Times New Roman" w:hAnsi="Calibri" w:cs="Arial"/>
          <w:b/>
          <w:bCs/>
          <w:color w:val="000000"/>
          <w:sz w:val="20"/>
          <w:szCs w:val="20"/>
          <w:lang w:eastAsia="sk-SK"/>
        </w:rPr>
      </w:pPr>
      <w:r>
        <w:rPr>
          <w:rFonts w:eastAsia="Times New Roman" w:cs="Arial"/>
          <w:b/>
          <w:bCs/>
          <w:color w:val="000000"/>
          <w:sz w:val="20"/>
          <w:szCs w:val="20"/>
          <w:lang w:eastAsia="sk-SK"/>
        </w:rPr>
        <w:t>Poskytovateľ</w:t>
      </w:r>
    </w:p>
    <w:p w14:paraId="5139EFB9" w14:textId="6A50D2E8" w:rsidR="00B11B28" w:rsidRDefault="00222537">
      <w:pPr>
        <w:spacing w:after="0" w:line="240" w:lineRule="auto"/>
        <w:outlineLvl w:val="1"/>
      </w:pPr>
      <w:bookmarkStart w:id="1" w:name="_Hlk30575973"/>
      <w:r>
        <w:rPr>
          <w:rFonts w:eastAsia="Times New Roman" w:cs="Arial"/>
          <w:sz w:val="20"/>
          <w:szCs w:val="20"/>
          <w:lang w:eastAsia="sk-SK"/>
        </w:rPr>
        <w:t xml:space="preserve">Obchodný názov: </w:t>
      </w:r>
      <w:bookmarkEnd w:id="1"/>
      <w:r>
        <w:rPr>
          <w:rFonts w:eastAsia="Times New Roman" w:cs="Arial"/>
          <w:sz w:val="20"/>
          <w:szCs w:val="20"/>
          <w:lang w:eastAsia="sk-SK"/>
        </w:rPr>
        <w:tab/>
        <w:t>M</w:t>
      </w:r>
      <w:r w:rsidR="00675B01">
        <w:rPr>
          <w:rFonts w:eastAsia="Times New Roman" w:cs="Arial"/>
          <w:sz w:val="20"/>
          <w:szCs w:val="20"/>
          <w:lang w:eastAsia="sk-SK"/>
        </w:rPr>
        <w:t xml:space="preserve">YPRO </w:t>
      </w:r>
      <w:proofErr w:type="spellStart"/>
      <w:r>
        <w:rPr>
          <w:rFonts w:eastAsia="Times New Roman" w:cs="Arial"/>
          <w:sz w:val="20"/>
          <w:szCs w:val="20"/>
          <w:lang w:eastAsia="sk-SK"/>
        </w:rPr>
        <w:t>s.r.o</w:t>
      </w:r>
      <w:proofErr w:type="spellEnd"/>
      <w:r>
        <w:rPr>
          <w:rFonts w:eastAsia="Times New Roman" w:cs="Arial"/>
          <w:sz w:val="20"/>
          <w:szCs w:val="20"/>
          <w:lang w:eastAsia="sk-SK"/>
        </w:rPr>
        <w:t>.</w:t>
      </w:r>
    </w:p>
    <w:p w14:paraId="36AE7EC6" w14:textId="77777777" w:rsidR="00B11B28" w:rsidRDefault="00222537">
      <w:pPr>
        <w:spacing w:after="0" w:line="240" w:lineRule="auto"/>
        <w:outlineLvl w:val="1"/>
      </w:pPr>
      <w:r>
        <w:rPr>
          <w:rFonts w:eastAsia="Times New Roman" w:cs="Arial"/>
          <w:sz w:val="20"/>
          <w:szCs w:val="20"/>
          <w:lang w:eastAsia="sk-SK"/>
        </w:rPr>
        <w:t xml:space="preserve">Sídlo: </w:t>
      </w:r>
      <w:r>
        <w:rPr>
          <w:rFonts w:eastAsia="Times New Roman" w:cs="Arial"/>
          <w:sz w:val="20"/>
          <w:szCs w:val="20"/>
          <w:lang w:eastAsia="sk-SK"/>
        </w:rPr>
        <w:tab/>
      </w:r>
      <w:r>
        <w:rPr>
          <w:rFonts w:eastAsia="Times New Roman" w:cs="Arial"/>
          <w:sz w:val="20"/>
          <w:szCs w:val="20"/>
          <w:lang w:eastAsia="sk-SK"/>
        </w:rPr>
        <w:tab/>
      </w:r>
      <w:r>
        <w:rPr>
          <w:rFonts w:eastAsia="Times New Roman" w:cs="Arial"/>
          <w:sz w:val="20"/>
          <w:szCs w:val="20"/>
          <w:lang w:eastAsia="sk-SK"/>
        </w:rPr>
        <w:tab/>
      </w:r>
      <w:proofErr w:type="spellStart"/>
      <w:r>
        <w:rPr>
          <w:rFonts w:eastAsia="Times New Roman" w:cs="Arial"/>
          <w:sz w:val="20"/>
          <w:szCs w:val="20"/>
          <w:lang w:eastAsia="sk-SK"/>
        </w:rPr>
        <w:t>Staromyjavská</w:t>
      </w:r>
      <w:proofErr w:type="spellEnd"/>
      <w:r>
        <w:rPr>
          <w:rFonts w:eastAsia="Times New Roman" w:cs="Arial"/>
          <w:sz w:val="20"/>
          <w:szCs w:val="20"/>
          <w:lang w:eastAsia="sk-SK"/>
        </w:rPr>
        <w:t xml:space="preserve"> 716/73, 90701 Myjava</w:t>
      </w:r>
    </w:p>
    <w:p w14:paraId="0BD20838" w14:textId="77777777" w:rsidR="00B11B28" w:rsidRDefault="00222537">
      <w:pPr>
        <w:spacing w:after="0" w:line="240" w:lineRule="auto"/>
        <w:outlineLvl w:val="1"/>
      </w:pPr>
      <w:r>
        <w:rPr>
          <w:rFonts w:eastAsia="Times New Roman" w:cs="Arial"/>
          <w:sz w:val="20"/>
          <w:szCs w:val="20"/>
          <w:lang w:eastAsia="sk-SK"/>
        </w:rPr>
        <w:t xml:space="preserve">IČO: </w:t>
      </w:r>
      <w:r>
        <w:rPr>
          <w:rFonts w:eastAsia="Times New Roman" w:cs="Arial"/>
          <w:sz w:val="20"/>
          <w:szCs w:val="20"/>
          <w:lang w:eastAsia="sk-SK"/>
        </w:rPr>
        <w:tab/>
      </w:r>
      <w:r>
        <w:rPr>
          <w:rFonts w:eastAsia="Times New Roman" w:cs="Arial"/>
          <w:sz w:val="20"/>
          <w:szCs w:val="20"/>
          <w:lang w:eastAsia="sk-SK"/>
        </w:rPr>
        <w:tab/>
      </w:r>
      <w:r>
        <w:rPr>
          <w:rFonts w:eastAsia="Times New Roman" w:cs="Arial"/>
          <w:sz w:val="20"/>
          <w:szCs w:val="20"/>
          <w:lang w:eastAsia="sk-SK"/>
        </w:rPr>
        <w:tab/>
        <w:t>52 531 431</w:t>
      </w:r>
    </w:p>
    <w:p w14:paraId="1391FCC0" w14:textId="421C3281" w:rsidR="00B11B28" w:rsidRDefault="00266961">
      <w:pPr>
        <w:spacing w:after="0" w:line="240" w:lineRule="auto"/>
        <w:outlineLvl w:val="1"/>
      </w:pPr>
      <w:r>
        <w:rPr>
          <w:rFonts w:eastAsia="Times New Roman" w:cs="Arial"/>
          <w:sz w:val="20"/>
          <w:szCs w:val="20"/>
          <w:lang w:eastAsia="sk-SK"/>
        </w:rPr>
        <w:t>IČ DPH</w:t>
      </w:r>
      <w:r w:rsidR="00222537">
        <w:rPr>
          <w:rFonts w:eastAsia="Times New Roman" w:cs="Arial"/>
          <w:sz w:val="20"/>
          <w:szCs w:val="20"/>
          <w:lang w:eastAsia="sk-SK"/>
        </w:rPr>
        <w:t xml:space="preserve">: </w:t>
      </w:r>
      <w:r w:rsidR="00222537">
        <w:rPr>
          <w:rFonts w:eastAsia="Times New Roman" w:cs="Arial"/>
          <w:sz w:val="20"/>
          <w:szCs w:val="20"/>
          <w:lang w:eastAsia="sk-SK"/>
        </w:rPr>
        <w:tab/>
      </w:r>
      <w:r w:rsidR="00222537">
        <w:rPr>
          <w:rFonts w:eastAsia="Times New Roman" w:cs="Arial"/>
          <w:sz w:val="20"/>
          <w:szCs w:val="20"/>
          <w:lang w:eastAsia="sk-SK"/>
        </w:rPr>
        <w:tab/>
      </w:r>
      <w:r w:rsidR="00222537">
        <w:rPr>
          <w:rFonts w:eastAsia="Times New Roman" w:cs="Arial"/>
          <w:sz w:val="20"/>
          <w:szCs w:val="20"/>
          <w:lang w:eastAsia="sk-SK"/>
        </w:rPr>
        <w:tab/>
      </w:r>
      <w:r>
        <w:rPr>
          <w:rFonts w:eastAsia="Times New Roman" w:cs="Arial"/>
          <w:sz w:val="20"/>
          <w:szCs w:val="20"/>
          <w:lang w:eastAsia="sk-SK"/>
        </w:rPr>
        <w:t>SK</w:t>
      </w:r>
      <w:r w:rsidR="00222537">
        <w:rPr>
          <w:rFonts w:eastAsia="Times New Roman" w:cs="Arial"/>
          <w:sz w:val="20"/>
          <w:szCs w:val="20"/>
          <w:lang w:eastAsia="sk-SK"/>
        </w:rPr>
        <w:t>2121056531</w:t>
      </w:r>
    </w:p>
    <w:p w14:paraId="629A1243" w14:textId="77777777" w:rsidR="00B11B28" w:rsidRDefault="00222537">
      <w:pPr>
        <w:spacing w:after="0" w:line="240" w:lineRule="auto"/>
        <w:outlineLvl w:val="1"/>
      </w:pPr>
      <w:r>
        <w:rPr>
          <w:rFonts w:eastAsia="Times New Roman" w:cs="Arial"/>
          <w:sz w:val="20"/>
          <w:szCs w:val="20"/>
          <w:lang w:eastAsia="sk-SK"/>
        </w:rPr>
        <w:t xml:space="preserve">Bankové spojenie: </w:t>
      </w:r>
      <w:r>
        <w:rPr>
          <w:rFonts w:eastAsia="Times New Roman" w:cs="Arial"/>
          <w:sz w:val="20"/>
          <w:szCs w:val="20"/>
          <w:lang w:eastAsia="sk-SK"/>
        </w:rPr>
        <w:tab/>
      </w:r>
      <w:proofErr w:type="spellStart"/>
      <w:r>
        <w:rPr>
          <w:rFonts w:eastAsia="Times New Roman" w:cs="Arial"/>
          <w:sz w:val="20"/>
          <w:szCs w:val="20"/>
          <w:lang w:eastAsia="sk-SK"/>
        </w:rPr>
        <w:t>Fio</w:t>
      </w:r>
      <w:proofErr w:type="spellEnd"/>
      <w:r>
        <w:rPr>
          <w:rFonts w:eastAsia="Times New Roman" w:cs="Arial"/>
          <w:sz w:val="20"/>
          <w:szCs w:val="20"/>
          <w:lang w:eastAsia="sk-SK"/>
        </w:rPr>
        <w:t xml:space="preserve"> banka </w:t>
      </w:r>
    </w:p>
    <w:p w14:paraId="4BBB7D3D" w14:textId="77777777" w:rsidR="00B11B28" w:rsidRDefault="00222537">
      <w:pPr>
        <w:spacing w:after="0" w:line="240" w:lineRule="auto"/>
        <w:outlineLvl w:val="1"/>
      </w:pPr>
      <w:r>
        <w:rPr>
          <w:rFonts w:eastAsia="Times New Roman" w:cs="Arial"/>
          <w:sz w:val="20"/>
          <w:szCs w:val="20"/>
          <w:lang w:eastAsia="sk-SK"/>
        </w:rPr>
        <w:t xml:space="preserve">IBAN: </w:t>
      </w:r>
      <w:r>
        <w:rPr>
          <w:rFonts w:eastAsia="Times New Roman" w:cs="Arial"/>
          <w:sz w:val="20"/>
          <w:szCs w:val="20"/>
          <w:lang w:eastAsia="sk-SK"/>
        </w:rPr>
        <w:tab/>
      </w:r>
      <w:r>
        <w:rPr>
          <w:rFonts w:eastAsia="Times New Roman" w:cs="Arial"/>
          <w:sz w:val="20"/>
          <w:szCs w:val="20"/>
          <w:lang w:eastAsia="sk-SK"/>
        </w:rPr>
        <w:tab/>
      </w:r>
      <w:r>
        <w:rPr>
          <w:rFonts w:eastAsia="Times New Roman" w:cs="Arial"/>
          <w:sz w:val="20"/>
          <w:szCs w:val="20"/>
          <w:lang w:eastAsia="sk-SK"/>
        </w:rPr>
        <w:tab/>
        <w:t>SK7683300000002501671987</w:t>
      </w:r>
    </w:p>
    <w:p w14:paraId="72C07263" w14:textId="77777777" w:rsidR="00B11B28" w:rsidRDefault="00222537">
      <w:pPr>
        <w:spacing w:after="0" w:line="240" w:lineRule="auto"/>
        <w:outlineLvl w:val="1"/>
      </w:pPr>
      <w:r>
        <w:rPr>
          <w:rFonts w:eastAsia="Times New Roman" w:cs="Arial"/>
          <w:sz w:val="20"/>
          <w:szCs w:val="20"/>
          <w:lang w:eastAsia="sk-SK"/>
        </w:rPr>
        <w:t>ďalej „poskytovateľ“</w:t>
      </w:r>
    </w:p>
    <w:p w14:paraId="5BF12903" w14:textId="77777777" w:rsidR="00B11B28" w:rsidRDefault="00B11B28">
      <w:pPr>
        <w:spacing w:after="0" w:line="240" w:lineRule="auto"/>
        <w:outlineLvl w:val="1"/>
        <w:rPr>
          <w:rFonts w:ascii="Calibri" w:eastAsia="Times New Roman" w:hAnsi="Calibri" w:cs="Arial"/>
          <w:sz w:val="20"/>
          <w:szCs w:val="20"/>
          <w:lang w:eastAsia="sk-SK"/>
        </w:rPr>
      </w:pPr>
    </w:p>
    <w:p w14:paraId="30C2FE61" w14:textId="35312A15" w:rsidR="00796946" w:rsidRPr="007A5677" w:rsidRDefault="00796946" w:rsidP="00796946">
      <w:pPr>
        <w:spacing w:after="60"/>
        <w:jc w:val="both"/>
        <w:rPr>
          <w:rFonts w:cs="Arial"/>
          <w:kern w:val="28"/>
          <w:sz w:val="20"/>
          <w:szCs w:val="20"/>
          <w:lang w:eastAsia="sk-SK"/>
        </w:rPr>
      </w:pPr>
      <w:r w:rsidRPr="00556943">
        <w:rPr>
          <w:rFonts w:cs="Arial"/>
          <w:kern w:val="28"/>
          <w:sz w:val="20"/>
          <w:szCs w:val="20"/>
          <w:lang w:eastAsia="sk-SK"/>
        </w:rPr>
        <w:t xml:space="preserve">Poskytovateľ je zaevidovaný v Zozname fyzických osôb - podnikateľov a právnických osôb ktoré vykonávajú samostatne dodávateľským spôsobom činnosť pracovnej zdravotnej služby pre zamestnancov vykonávajúcich práce zaradené do kategórie </w:t>
      </w:r>
      <w:smartTag w:uri="urn:schemas-microsoft-com:office:smarttags" w:element="metricconverter">
        <w:smartTagPr>
          <w:attr w:name="ProductID" w:val="1 a"/>
        </w:smartTagPr>
        <w:r w:rsidRPr="00556943">
          <w:rPr>
            <w:rFonts w:cs="Arial"/>
            <w:kern w:val="28"/>
            <w:sz w:val="20"/>
            <w:szCs w:val="20"/>
            <w:lang w:eastAsia="sk-SK"/>
          </w:rPr>
          <w:t>1 a</w:t>
        </w:r>
      </w:smartTag>
      <w:r w:rsidRPr="00556943">
        <w:rPr>
          <w:rFonts w:cs="Arial"/>
          <w:kern w:val="28"/>
          <w:sz w:val="20"/>
          <w:szCs w:val="20"/>
          <w:lang w:eastAsia="sk-SK"/>
        </w:rPr>
        <w:t xml:space="preserve"> 2 (dohľad nad pracovnými podmienkami)</w:t>
      </w:r>
      <w:r>
        <w:rPr>
          <w:rFonts w:cs="Arial"/>
          <w:kern w:val="28"/>
          <w:sz w:val="20"/>
          <w:szCs w:val="20"/>
          <w:lang w:eastAsia="sk-SK"/>
        </w:rPr>
        <w:t xml:space="preserve"> </w:t>
      </w:r>
      <w:r w:rsidRPr="00556943">
        <w:rPr>
          <w:rFonts w:cs="Arial"/>
          <w:kern w:val="28"/>
          <w:sz w:val="20"/>
          <w:szCs w:val="20"/>
          <w:lang w:eastAsia="sk-SK"/>
        </w:rPr>
        <w:t xml:space="preserve">pod číslom v evidencii </w:t>
      </w:r>
      <w:r w:rsidRPr="007A5677">
        <w:rPr>
          <w:rFonts w:cs="Arial"/>
          <w:kern w:val="28"/>
          <w:sz w:val="20"/>
          <w:szCs w:val="20"/>
          <w:lang w:eastAsia="sk-SK"/>
        </w:rPr>
        <w:t xml:space="preserve">ÚVZ SR – </w:t>
      </w:r>
      <w:r w:rsidR="006C4F07" w:rsidRPr="006C4F07">
        <w:rPr>
          <w:rFonts w:cs="Arial"/>
          <w:kern w:val="28"/>
          <w:sz w:val="20"/>
          <w:szCs w:val="20"/>
          <w:lang w:eastAsia="sk-SK"/>
        </w:rPr>
        <w:t>OPPL/6226/124273/2019  zo dňa 12.8.2019</w:t>
      </w:r>
      <w:r>
        <w:rPr>
          <w:rFonts w:cs="Arial"/>
          <w:kern w:val="28"/>
          <w:sz w:val="20"/>
          <w:szCs w:val="20"/>
          <w:lang w:eastAsia="sk-SK"/>
        </w:rPr>
        <w:t>.</w:t>
      </w:r>
    </w:p>
    <w:p w14:paraId="43A5AC00" w14:textId="77777777" w:rsidR="00796946" w:rsidRDefault="00796946" w:rsidP="00796946">
      <w:pPr>
        <w:spacing w:after="60"/>
        <w:jc w:val="center"/>
        <w:rPr>
          <w:b/>
          <w:sz w:val="20"/>
        </w:rPr>
      </w:pPr>
    </w:p>
    <w:p w14:paraId="45C450E5" w14:textId="77777777" w:rsidR="00796946" w:rsidRDefault="00796946" w:rsidP="00796946">
      <w:pPr>
        <w:spacing w:after="60"/>
        <w:jc w:val="center"/>
        <w:rPr>
          <w:b/>
          <w:sz w:val="20"/>
        </w:rPr>
      </w:pPr>
      <w:r>
        <w:rPr>
          <w:b/>
          <w:sz w:val="20"/>
        </w:rPr>
        <w:t>Článok I</w:t>
      </w:r>
    </w:p>
    <w:p w14:paraId="17603351" w14:textId="77777777" w:rsidR="00796946" w:rsidRDefault="00796946" w:rsidP="00796946">
      <w:pPr>
        <w:spacing w:after="60"/>
        <w:jc w:val="center"/>
        <w:rPr>
          <w:b/>
          <w:sz w:val="20"/>
        </w:rPr>
      </w:pPr>
      <w:r>
        <w:rPr>
          <w:b/>
          <w:sz w:val="20"/>
        </w:rPr>
        <w:t>Predmet zmluvy</w:t>
      </w:r>
    </w:p>
    <w:p w14:paraId="609D60E6" w14:textId="77777777" w:rsidR="00796946" w:rsidRDefault="00796946" w:rsidP="00796946">
      <w:pPr>
        <w:pStyle w:val="Odsekzoznamu"/>
        <w:numPr>
          <w:ilvl w:val="0"/>
          <w:numId w:val="1"/>
        </w:numPr>
        <w:ind w:left="284" w:hanging="284"/>
        <w:jc w:val="both"/>
        <w:rPr>
          <w:sz w:val="20"/>
        </w:rPr>
      </w:pPr>
      <w:r>
        <w:rPr>
          <w:sz w:val="20"/>
        </w:rPr>
        <w:t xml:space="preserve">Predmetom tejto zmluvy je záväzok Poskytovateľa zabezpečiť pre Objednávateľa vykonávanie dohľadu nad pracovnými podmienkami </w:t>
      </w:r>
      <w:r w:rsidRPr="00BC4843">
        <w:rPr>
          <w:sz w:val="20"/>
        </w:rPr>
        <w:t xml:space="preserve">podľa § 30ab, písm. a, b, c, d, e zákona </w:t>
      </w:r>
      <w:r>
        <w:rPr>
          <w:sz w:val="20"/>
        </w:rPr>
        <w:t xml:space="preserve">NR SR č. 355/2007 </w:t>
      </w:r>
      <w:proofErr w:type="spellStart"/>
      <w:r>
        <w:rPr>
          <w:sz w:val="20"/>
        </w:rPr>
        <w:t>Z.z</w:t>
      </w:r>
      <w:proofErr w:type="spellEnd"/>
      <w:r>
        <w:rPr>
          <w:sz w:val="20"/>
        </w:rPr>
        <w:t>. o ochrane, podpore a rozvoji verejného zdravia a o zmene a doplnení niektorých zákonov v znení neskorších prepisov v podmienkach objednávateľa. Obsah dohodnutých zdravotných služieb tvorí článok III. Tejto zmluvy.</w:t>
      </w:r>
    </w:p>
    <w:p w14:paraId="109B336C" w14:textId="77777777" w:rsidR="00796946" w:rsidRDefault="00796946" w:rsidP="00796946">
      <w:pPr>
        <w:pStyle w:val="Odsekzoznamu"/>
        <w:numPr>
          <w:ilvl w:val="0"/>
          <w:numId w:val="1"/>
        </w:numPr>
        <w:ind w:left="284" w:hanging="284"/>
        <w:jc w:val="both"/>
        <w:rPr>
          <w:sz w:val="20"/>
        </w:rPr>
      </w:pPr>
      <w:r>
        <w:rPr>
          <w:sz w:val="20"/>
        </w:rPr>
        <w:t>Poskytovateľ sa zaväzuje poskytovať Objednávateľovi služby v súlade s platnými právnymi predpismi vo vlastnom mene a na vlastnú zodpovednosť, spôsobom a za podmienok v tejto zmluve ďalej ustanovených.</w:t>
      </w:r>
    </w:p>
    <w:p w14:paraId="2D105DDF" w14:textId="77777777" w:rsidR="00796946" w:rsidRDefault="00796946" w:rsidP="00796946">
      <w:pPr>
        <w:spacing w:after="60"/>
        <w:ind w:left="284" w:hanging="284"/>
        <w:jc w:val="center"/>
        <w:rPr>
          <w:b/>
          <w:sz w:val="20"/>
        </w:rPr>
      </w:pPr>
      <w:r>
        <w:rPr>
          <w:b/>
          <w:sz w:val="20"/>
        </w:rPr>
        <w:t>Článok II</w:t>
      </w:r>
    </w:p>
    <w:p w14:paraId="67EE1138" w14:textId="77777777" w:rsidR="00796946" w:rsidRDefault="00796946" w:rsidP="00796946">
      <w:pPr>
        <w:spacing w:after="60"/>
        <w:ind w:left="284" w:hanging="284"/>
        <w:jc w:val="center"/>
        <w:rPr>
          <w:b/>
          <w:sz w:val="20"/>
        </w:rPr>
      </w:pPr>
      <w:r>
        <w:rPr>
          <w:b/>
          <w:sz w:val="20"/>
        </w:rPr>
        <w:t>Práva a povinnosti zmluvných strán</w:t>
      </w:r>
    </w:p>
    <w:p w14:paraId="3317900C" w14:textId="77777777" w:rsidR="00796946" w:rsidRPr="002F1103" w:rsidRDefault="00796946" w:rsidP="00796946">
      <w:pPr>
        <w:pStyle w:val="Odsekzoznamu"/>
        <w:numPr>
          <w:ilvl w:val="0"/>
          <w:numId w:val="2"/>
        </w:numPr>
        <w:ind w:left="284" w:hanging="284"/>
        <w:jc w:val="both"/>
        <w:rPr>
          <w:sz w:val="20"/>
        </w:rPr>
      </w:pPr>
      <w:r>
        <w:rPr>
          <w:sz w:val="20"/>
        </w:rPr>
        <w:t xml:space="preserve">Objednávateľ sa zaväzuje poskytnúť Poskytovateľovi pri realizácii služieb dohodnutých v tejto zmluve všetku potrebnú súčinnosť, poskytne mu potrebné informácie, príslušnú dokumentáciu a umožní poskytovateľovi vstup do všetkých objektov a priestorov spadajúcich pod výkon </w:t>
      </w:r>
      <w:r w:rsidRPr="002F1103">
        <w:rPr>
          <w:sz w:val="20"/>
        </w:rPr>
        <w:t xml:space="preserve">zdravotných služieb. </w:t>
      </w:r>
    </w:p>
    <w:p w14:paraId="29FDFC1F" w14:textId="77777777" w:rsidR="00796946" w:rsidRPr="00BC4843" w:rsidRDefault="00796946" w:rsidP="00796946">
      <w:pPr>
        <w:pStyle w:val="Odsekzoznamu"/>
        <w:numPr>
          <w:ilvl w:val="0"/>
          <w:numId w:val="2"/>
        </w:numPr>
        <w:ind w:left="284" w:hanging="284"/>
        <w:jc w:val="both"/>
        <w:rPr>
          <w:sz w:val="20"/>
        </w:rPr>
      </w:pPr>
      <w:r>
        <w:rPr>
          <w:sz w:val="20"/>
        </w:rPr>
        <w:t>Poskytovateľ nepreberá zodpovednosť za škody vzniknuté Objednávateľovi svojimi službami v prípade, pokiaľ nebol včas a pravdivo informovaný o nových skutočnostiach a zmenách u Objednávateľa (personálnych, vykonávaných pracovných činnostiach, používaných technológiách a strojných zariadeniach, pracovnom prostredí, zdravotnej spôsobilosti zamestnancov / týkajúcich sa predmetu výkonu dohľadu nad pracovnými podmienkami, alebo ak Objednávateľ neposkytol súčinnosť potrebnú pre výkon činnosti, alebo ak Objednávateľ neplní povinnosti ustanovené všeobecne záväznými právnymi predpismi na zabezpečenie ochrany zdravia pri práci.</w:t>
      </w:r>
    </w:p>
    <w:p w14:paraId="0FBDE9FC" w14:textId="77777777" w:rsidR="00796946" w:rsidRDefault="00796946" w:rsidP="00796946">
      <w:pPr>
        <w:spacing w:after="60"/>
        <w:jc w:val="center"/>
        <w:rPr>
          <w:b/>
          <w:sz w:val="20"/>
        </w:rPr>
      </w:pPr>
      <w:r>
        <w:rPr>
          <w:b/>
          <w:sz w:val="20"/>
        </w:rPr>
        <w:lastRenderedPageBreak/>
        <w:t>Článok III</w:t>
      </w:r>
    </w:p>
    <w:p w14:paraId="03C62F48" w14:textId="77777777" w:rsidR="00796946" w:rsidRDefault="00796946" w:rsidP="00796946">
      <w:pPr>
        <w:spacing w:after="60"/>
        <w:jc w:val="center"/>
        <w:rPr>
          <w:b/>
          <w:sz w:val="20"/>
        </w:rPr>
      </w:pPr>
      <w:r>
        <w:rPr>
          <w:b/>
          <w:sz w:val="20"/>
        </w:rPr>
        <w:t>Cena a platobné podmienky</w:t>
      </w:r>
    </w:p>
    <w:p w14:paraId="6510A29D" w14:textId="77777777" w:rsidR="00796946" w:rsidRDefault="00796946" w:rsidP="00796946">
      <w:pPr>
        <w:pStyle w:val="Odsekzoznamu"/>
        <w:numPr>
          <w:ilvl w:val="0"/>
          <w:numId w:val="3"/>
        </w:numPr>
        <w:jc w:val="both"/>
        <w:rPr>
          <w:sz w:val="20"/>
        </w:rPr>
      </w:pPr>
      <w:r>
        <w:rPr>
          <w:sz w:val="20"/>
        </w:rPr>
        <w:t>Zmluvné strany sa dohodli na zmluvnej odplate za poskytovanie predmetu zmluvy nasledovne:</w:t>
      </w:r>
    </w:p>
    <w:tbl>
      <w:tblPr>
        <w:tblW w:w="10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514"/>
        <w:gridCol w:w="2621"/>
      </w:tblGrid>
      <w:tr w:rsidR="00796946" w14:paraId="5F7EFBD4" w14:textId="77777777" w:rsidTr="006F2C4A">
        <w:trPr>
          <w:trHeight w:val="506"/>
        </w:trPr>
        <w:tc>
          <w:tcPr>
            <w:tcW w:w="1013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A3B497C" w14:textId="77777777" w:rsidR="00796946" w:rsidRPr="003E4535" w:rsidRDefault="00796946" w:rsidP="006F2C4A">
            <w:pPr>
              <w:ind w:right="512"/>
              <w:jc w:val="center"/>
              <w:rPr>
                <w:rFonts w:ascii="Calibri" w:hAnsi="Calibri"/>
                <w:b/>
                <w:color w:val="000000"/>
                <w:sz w:val="20"/>
                <w:lang w:eastAsia="sk-SK"/>
              </w:rPr>
            </w:pPr>
            <w:r>
              <w:rPr>
                <w:b/>
                <w:color w:val="000000"/>
                <w:sz w:val="20"/>
                <w:lang w:eastAsia="sk-SK"/>
              </w:rPr>
              <w:t>Pracovná zdravotná služba – zdravotný dohľad pre zamestnancov kategórie 1 a 2:</w:t>
            </w:r>
          </w:p>
        </w:tc>
      </w:tr>
      <w:tr w:rsidR="00FE5985" w14:paraId="3D9AD5E0" w14:textId="77777777" w:rsidTr="006625FA">
        <w:trPr>
          <w:trHeight w:val="397"/>
        </w:trPr>
        <w:tc>
          <w:tcPr>
            <w:tcW w:w="75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8FCF6E" w14:textId="77777777" w:rsidR="00FE5985" w:rsidRDefault="00FE5985" w:rsidP="006F2C4A">
            <w:pPr>
              <w:jc w:val="both"/>
              <w:rPr>
                <w:rFonts w:ascii="Calibri" w:hAnsi="Calibri"/>
                <w:color w:val="000000"/>
                <w:sz w:val="18"/>
              </w:rPr>
            </w:pPr>
            <w:r>
              <w:rPr>
                <w:color w:val="000000"/>
                <w:sz w:val="18"/>
              </w:rPr>
              <w:t>hodnotenie faktorov práce a pracovného prostredia a spôsobu vykonávania práce z hľadiska ich možného vplyvu na zdravie zamestnancov,</w:t>
            </w:r>
          </w:p>
        </w:tc>
        <w:tc>
          <w:tcPr>
            <w:tcW w:w="2621" w:type="dxa"/>
            <w:vMerge w:val="restart"/>
            <w:tcBorders>
              <w:top w:val="single" w:sz="4" w:space="0" w:color="00000A"/>
              <w:left w:val="single" w:sz="4" w:space="0" w:color="00000A"/>
              <w:right w:val="single" w:sz="4" w:space="0" w:color="00000A"/>
            </w:tcBorders>
            <w:shd w:val="clear" w:color="auto" w:fill="auto"/>
            <w:vAlign w:val="center"/>
          </w:tcPr>
          <w:p w14:paraId="1F92ED23" w14:textId="7846F935" w:rsidR="00FE5985" w:rsidRPr="007D2B17" w:rsidRDefault="007D2B17" w:rsidP="007D2B17">
            <w:pPr>
              <w:jc w:val="center"/>
              <w:rPr>
                <w:rFonts w:cstheme="minorHAnsi"/>
                <w:i/>
                <w:color w:val="000000"/>
                <w:sz w:val="18"/>
              </w:rPr>
            </w:pPr>
            <w:r w:rsidRPr="00387593">
              <w:rPr>
                <w:rFonts w:cstheme="minorHAnsi"/>
                <w:b/>
                <w:color w:val="000000"/>
                <w:sz w:val="20"/>
                <w:u w:val="single"/>
              </w:rPr>
              <w:t xml:space="preserve">paušálna platba </w:t>
            </w:r>
            <w:r w:rsidRPr="00387593">
              <w:rPr>
                <w:rFonts w:cstheme="minorHAnsi"/>
                <w:bCs/>
                <w:color w:val="000000"/>
                <w:sz w:val="20"/>
                <w:u w:val="single"/>
              </w:rPr>
              <w:t>prepočítaná</w:t>
            </w:r>
            <w:r w:rsidRPr="00387593">
              <w:rPr>
                <w:rFonts w:cstheme="minorHAnsi"/>
                <w:b/>
                <w:color w:val="000000"/>
                <w:sz w:val="20"/>
                <w:u w:val="single"/>
              </w:rPr>
              <w:t xml:space="preserve"> na 24 mesiacov</w:t>
            </w:r>
          </w:p>
          <w:p w14:paraId="62A0263D" w14:textId="2B561982" w:rsidR="00FE5985" w:rsidRDefault="00FE5985" w:rsidP="006F2C4A">
            <w:pPr>
              <w:jc w:val="center"/>
              <w:rPr>
                <w:b/>
                <w:color w:val="000000"/>
                <w:sz w:val="20"/>
              </w:rPr>
            </w:pPr>
            <w:r>
              <w:rPr>
                <w:b/>
                <w:color w:val="000000"/>
                <w:sz w:val="20"/>
              </w:rPr>
              <w:t>200,- € /rok</w:t>
            </w:r>
          </w:p>
          <w:p w14:paraId="211D6725" w14:textId="42C3125D" w:rsidR="007D2B17" w:rsidRPr="007D2B17" w:rsidRDefault="007D2B17" w:rsidP="006F2C4A">
            <w:pPr>
              <w:jc w:val="center"/>
              <w:rPr>
                <w:sz w:val="18"/>
                <w:szCs w:val="18"/>
              </w:rPr>
            </w:pPr>
            <w:r w:rsidRPr="007D2B17">
              <w:rPr>
                <w:sz w:val="18"/>
                <w:szCs w:val="18"/>
              </w:rPr>
              <w:t>(bez DPH)</w:t>
            </w:r>
          </w:p>
          <w:p w14:paraId="4920AA34" w14:textId="77777777" w:rsidR="007D2B17" w:rsidRDefault="007D2B17" w:rsidP="006F2C4A">
            <w:pPr>
              <w:jc w:val="center"/>
              <w:rPr>
                <w:color w:val="000000"/>
                <w:sz w:val="18"/>
              </w:rPr>
            </w:pPr>
          </w:p>
          <w:p w14:paraId="3E511132" w14:textId="50A44610" w:rsidR="00FE5985" w:rsidRDefault="00FE5985" w:rsidP="006F2C4A">
            <w:pPr>
              <w:jc w:val="center"/>
              <w:rPr>
                <w:color w:val="000000"/>
                <w:sz w:val="18"/>
              </w:rPr>
            </w:pPr>
            <w:r>
              <w:rPr>
                <w:color w:val="000000"/>
                <w:sz w:val="18"/>
              </w:rPr>
              <w:t>Fakturácia v 12-mesačných intervaloch.</w:t>
            </w:r>
          </w:p>
          <w:p w14:paraId="34E7D9C9" w14:textId="631583DE" w:rsidR="00FE5985" w:rsidRPr="00FE5985" w:rsidRDefault="00FE5985" w:rsidP="006F2C4A">
            <w:pPr>
              <w:jc w:val="center"/>
              <w:rPr>
                <w:i/>
                <w:iCs/>
                <w:color w:val="000000"/>
              </w:rPr>
            </w:pPr>
            <w:r w:rsidRPr="00FE5985">
              <w:rPr>
                <w:i/>
                <w:iCs/>
                <w:color w:val="000000"/>
                <w:sz w:val="18"/>
              </w:rPr>
              <w:t>prvá fakturácia po zrealizovaní dohľadu</w:t>
            </w:r>
          </w:p>
        </w:tc>
      </w:tr>
      <w:tr w:rsidR="00FE5985" w14:paraId="5840A698" w14:textId="77777777" w:rsidTr="006625FA">
        <w:trPr>
          <w:trHeight w:val="397"/>
        </w:trPr>
        <w:tc>
          <w:tcPr>
            <w:tcW w:w="75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0BD4C1" w14:textId="77777777" w:rsidR="00FE5985" w:rsidRDefault="00FE5985" w:rsidP="006F2C4A">
            <w:pPr>
              <w:jc w:val="both"/>
              <w:rPr>
                <w:rFonts w:ascii="Calibri" w:hAnsi="Calibri"/>
                <w:color w:val="000000"/>
                <w:sz w:val="18"/>
              </w:rPr>
            </w:pPr>
            <w:r>
              <w:rPr>
                <w:color w:val="000000"/>
                <w:sz w:val="18"/>
              </w:rPr>
              <w:t>zisťuje expozíciu zamestnancov objednávateľa faktorom práce a pracovného prostredia a ich možné kombinované účinky na zdravie,</w:t>
            </w:r>
          </w:p>
        </w:tc>
        <w:tc>
          <w:tcPr>
            <w:tcW w:w="2621" w:type="dxa"/>
            <w:vMerge/>
            <w:tcBorders>
              <w:left w:val="single" w:sz="4" w:space="0" w:color="00000A"/>
              <w:right w:val="single" w:sz="4" w:space="0" w:color="00000A"/>
            </w:tcBorders>
            <w:shd w:val="clear" w:color="auto" w:fill="auto"/>
            <w:vAlign w:val="center"/>
          </w:tcPr>
          <w:p w14:paraId="78EDDCE8" w14:textId="77777777" w:rsidR="00FE5985" w:rsidRDefault="00FE5985" w:rsidP="006F2C4A">
            <w:pPr>
              <w:rPr>
                <w:rFonts w:ascii="Calibri" w:hAnsi="Calibri"/>
                <w:b/>
                <w:color w:val="000000"/>
              </w:rPr>
            </w:pPr>
          </w:p>
        </w:tc>
      </w:tr>
      <w:tr w:rsidR="00FE5985" w14:paraId="1A729D26" w14:textId="77777777" w:rsidTr="006625FA">
        <w:trPr>
          <w:trHeight w:val="397"/>
        </w:trPr>
        <w:tc>
          <w:tcPr>
            <w:tcW w:w="75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43E7DD" w14:textId="77777777" w:rsidR="00FE5985" w:rsidRDefault="00FE5985" w:rsidP="006F2C4A">
            <w:pPr>
              <w:jc w:val="both"/>
              <w:rPr>
                <w:rFonts w:ascii="Calibri" w:hAnsi="Calibri"/>
                <w:color w:val="000000"/>
                <w:sz w:val="18"/>
              </w:rPr>
            </w:pPr>
            <w:r>
              <w:rPr>
                <w:color w:val="000000"/>
                <w:sz w:val="18"/>
              </w:rPr>
              <w:t>hodnotí zdravotné riziká, ktoré ohrozujú zdravie zamestnancov objednávateľa pri práci, a podieľa sa na vypracovaní posudku o riziku pre zamestnávateľa, navrhuje zamestnávateľovi opatrenia na zníženie alebo odstránenie rizika,</w:t>
            </w:r>
          </w:p>
        </w:tc>
        <w:tc>
          <w:tcPr>
            <w:tcW w:w="2621" w:type="dxa"/>
            <w:vMerge/>
            <w:tcBorders>
              <w:left w:val="single" w:sz="4" w:space="0" w:color="00000A"/>
              <w:right w:val="single" w:sz="4" w:space="0" w:color="00000A"/>
            </w:tcBorders>
            <w:shd w:val="clear" w:color="auto" w:fill="auto"/>
            <w:vAlign w:val="center"/>
          </w:tcPr>
          <w:p w14:paraId="1F22F08A" w14:textId="77777777" w:rsidR="00FE5985" w:rsidRDefault="00FE5985" w:rsidP="006F2C4A">
            <w:pPr>
              <w:rPr>
                <w:rFonts w:ascii="Calibri" w:hAnsi="Calibri"/>
                <w:b/>
                <w:color w:val="000000"/>
              </w:rPr>
            </w:pPr>
          </w:p>
        </w:tc>
      </w:tr>
      <w:tr w:rsidR="00FE5985" w14:paraId="2BA832E0" w14:textId="77777777" w:rsidTr="006625FA">
        <w:trPr>
          <w:trHeight w:val="350"/>
        </w:trPr>
        <w:tc>
          <w:tcPr>
            <w:tcW w:w="75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038B6E" w14:textId="77777777" w:rsidR="00FE5985" w:rsidRDefault="00FE5985" w:rsidP="006F2C4A">
            <w:pPr>
              <w:rPr>
                <w:rFonts w:ascii="Calibri" w:hAnsi="Calibri"/>
                <w:color w:val="000000"/>
                <w:sz w:val="18"/>
              </w:rPr>
            </w:pPr>
            <w:r>
              <w:rPr>
                <w:color w:val="000000"/>
                <w:sz w:val="18"/>
              </w:rPr>
              <w:t>vypracúva návrhy na zaradenie prác do kategórií z hľadiska zdravotných rizík,</w:t>
            </w:r>
          </w:p>
        </w:tc>
        <w:tc>
          <w:tcPr>
            <w:tcW w:w="2621" w:type="dxa"/>
            <w:vMerge/>
            <w:tcBorders>
              <w:left w:val="single" w:sz="4" w:space="0" w:color="00000A"/>
              <w:right w:val="single" w:sz="4" w:space="0" w:color="00000A"/>
            </w:tcBorders>
            <w:shd w:val="clear" w:color="auto" w:fill="auto"/>
            <w:vAlign w:val="center"/>
          </w:tcPr>
          <w:p w14:paraId="3508BF85" w14:textId="77777777" w:rsidR="00FE5985" w:rsidRDefault="00FE5985" w:rsidP="006F2C4A">
            <w:pPr>
              <w:rPr>
                <w:rFonts w:ascii="Calibri" w:hAnsi="Calibri"/>
                <w:b/>
                <w:color w:val="000000"/>
              </w:rPr>
            </w:pPr>
          </w:p>
        </w:tc>
      </w:tr>
      <w:tr w:rsidR="00FE5985" w14:paraId="63710F0F" w14:textId="77777777" w:rsidTr="006625FA">
        <w:trPr>
          <w:trHeight w:val="518"/>
        </w:trPr>
        <w:tc>
          <w:tcPr>
            <w:tcW w:w="75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B3495C" w14:textId="77777777" w:rsidR="00FE5985" w:rsidRDefault="00FE5985" w:rsidP="006F2C4A">
            <w:pPr>
              <w:jc w:val="both"/>
              <w:rPr>
                <w:rFonts w:ascii="Calibri" w:hAnsi="Calibri"/>
                <w:sz w:val="18"/>
              </w:rPr>
            </w:pPr>
            <w:r>
              <w:rPr>
                <w:sz w:val="18"/>
              </w:rPr>
              <w:t>podporuje prispôsobovanie práce a pracovných podmienok zamestnancom objednávateľa z hľadiska ochrany zdravia,</w:t>
            </w:r>
          </w:p>
        </w:tc>
        <w:tc>
          <w:tcPr>
            <w:tcW w:w="2621" w:type="dxa"/>
            <w:vMerge/>
            <w:tcBorders>
              <w:left w:val="single" w:sz="4" w:space="0" w:color="00000A"/>
              <w:right w:val="single" w:sz="4" w:space="0" w:color="00000A"/>
            </w:tcBorders>
            <w:shd w:val="clear" w:color="auto" w:fill="auto"/>
            <w:vAlign w:val="center"/>
          </w:tcPr>
          <w:p w14:paraId="66123466" w14:textId="77777777" w:rsidR="00FE5985" w:rsidRDefault="00FE5985" w:rsidP="006F2C4A">
            <w:pPr>
              <w:rPr>
                <w:rFonts w:ascii="Calibri" w:hAnsi="Calibri"/>
                <w:b/>
                <w:color w:val="000000"/>
              </w:rPr>
            </w:pPr>
          </w:p>
        </w:tc>
      </w:tr>
      <w:tr w:rsidR="00FE5985" w14:paraId="76EF5F78" w14:textId="77777777" w:rsidTr="006625FA">
        <w:trPr>
          <w:trHeight w:val="518"/>
        </w:trPr>
        <w:tc>
          <w:tcPr>
            <w:tcW w:w="75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9A0900" w14:textId="77777777" w:rsidR="00FE5985" w:rsidRPr="00B94405" w:rsidRDefault="00FE5985" w:rsidP="006C4F07">
            <w:pPr>
              <w:spacing w:line="240" w:lineRule="auto"/>
              <w:jc w:val="both"/>
              <w:rPr>
                <w:color w:val="000000"/>
                <w:sz w:val="18"/>
                <w:szCs w:val="18"/>
              </w:rPr>
            </w:pPr>
            <w:r w:rsidRPr="00B94405">
              <w:rPr>
                <w:color w:val="000000"/>
                <w:sz w:val="18"/>
                <w:szCs w:val="18"/>
              </w:rPr>
              <w:t>Konzultácia e – mailom, telefonicky / poradenská činnosť</w:t>
            </w:r>
          </w:p>
          <w:p w14:paraId="48583684" w14:textId="77777777" w:rsidR="00FE5985" w:rsidRPr="00B94405" w:rsidRDefault="00FE5985" w:rsidP="006C4F07">
            <w:pPr>
              <w:spacing w:line="240" w:lineRule="auto"/>
              <w:jc w:val="both"/>
              <w:rPr>
                <w:i/>
                <w:sz w:val="16"/>
              </w:rPr>
            </w:pPr>
            <w:r w:rsidRPr="00B94405">
              <w:rPr>
                <w:i/>
                <w:sz w:val="16"/>
              </w:rPr>
              <w:t xml:space="preserve">poskytuje primerané poradenstvo zamestnávateľovi a zamestnancom objednávateľa pri </w:t>
            </w:r>
          </w:p>
          <w:p w14:paraId="7B3046FB" w14:textId="77777777" w:rsidR="00FE5985" w:rsidRPr="00B94405" w:rsidRDefault="00FE5985" w:rsidP="006C4F07">
            <w:pPr>
              <w:spacing w:line="240" w:lineRule="auto"/>
              <w:jc w:val="both"/>
              <w:rPr>
                <w:i/>
                <w:sz w:val="16"/>
              </w:rPr>
            </w:pPr>
            <w:r w:rsidRPr="00B94405">
              <w:rPr>
                <w:i/>
                <w:sz w:val="16"/>
              </w:rPr>
              <w:t xml:space="preserve">1. plánovaní a organizácii práce a odpočinku zamestnancov vrátane usporiadania pracovísk a pracovných miest a spôsobu výkonu práce z hľadiska ochrany zdravia, </w:t>
            </w:r>
          </w:p>
          <w:p w14:paraId="06201402" w14:textId="77777777" w:rsidR="00FE5985" w:rsidRPr="00B94405" w:rsidRDefault="00FE5985" w:rsidP="006C4F07">
            <w:pPr>
              <w:spacing w:line="240" w:lineRule="auto"/>
              <w:jc w:val="both"/>
              <w:rPr>
                <w:i/>
                <w:sz w:val="16"/>
              </w:rPr>
            </w:pPr>
            <w:r w:rsidRPr="00B94405">
              <w:rPr>
                <w:i/>
                <w:sz w:val="16"/>
              </w:rPr>
              <w:t xml:space="preserve">2. ochrane zdravia pred nepriaznivým vplyvom faktorov práce a pracovného prostredia alebo technológií, ktoré sa používajú alebo plánujú používať, </w:t>
            </w:r>
          </w:p>
          <w:p w14:paraId="38159D9C" w14:textId="17AC37EB" w:rsidR="00FE5985" w:rsidRDefault="00FE5985" w:rsidP="006C4F07">
            <w:pPr>
              <w:jc w:val="both"/>
              <w:rPr>
                <w:sz w:val="18"/>
              </w:rPr>
            </w:pPr>
            <w:r w:rsidRPr="00B94405">
              <w:rPr>
                <w:i/>
                <w:sz w:val="16"/>
              </w:rPr>
              <w:t>3. ochrane a kladnom ovplyvňovaní zdravia, hygiene, fyziológii práce, psychológii práce a ergonómii.</w:t>
            </w:r>
          </w:p>
        </w:tc>
        <w:tc>
          <w:tcPr>
            <w:tcW w:w="2621" w:type="dxa"/>
            <w:vMerge/>
            <w:tcBorders>
              <w:left w:val="single" w:sz="4" w:space="0" w:color="00000A"/>
              <w:right w:val="single" w:sz="4" w:space="0" w:color="00000A"/>
            </w:tcBorders>
            <w:shd w:val="clear" w:color="auto" w:fill="auto"/>
            <w:vAlign w:val="center"/>
          </w:tcPr>
          <w:p w14:paraId="304C3739" w14:textId="77777777" w:rsidR="00FE5985" w:rsidRDefault="00FE5985" w:rsidP="006F2C4A">
            <w:pPr>
              <w:rPr>
                <w:rFonts w:ascii="Calibri" w:hAnsi="Calibri"/>
                <w:b/>
                <w:color w:val="000000"/>
              </w:rPr>
            </w:pPr>
          </w:p>
        </w:tc>
      </w:tr>
      <w:tr w:rsidR="00FE5985" w14:paraId="67026C2C" w14:textId="77777777" w:rsidTr="006625FA">
        <w:trPr>
          <w:trHeight w:val="366"/>
        </w:trPr>
        <w:tc>
          <w:tcPr>
            <w:tcW w:w="75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5BA2C5" w14:textId="181D1C6F" w:rsidR="00FE5985" w:rsidRDefault="00FE5985" w:rsidP="006F2C4A">
            <w:pPr>
              <w:spacing w:line="240" w:lineRule="auto"/>
              <w:jc w:val="both"/>
              <w:rPr>
                <w:rFonts w:ascii="Calibri" w:hAnsi="Calibri"/>
                <w:sz w:val="18"/>
              </w:rPr>
            </w:pPr>
            <w:r>
              <w:rPr>
                <w:sz w:val="18"/>
              </w:rPr>
              <w:t>Stretnutie na pracovisku 1 x 24 mesiacov, v prípade potreby.</w:t>
            </w:r>
          </w:p>
        </w:tc>
        <w:tc>
          <w:tcPr>
            <w:tcW w:w="2621" w:type="dxa"/>
            <w:vMerge/>
            <w:tcBorders>
              <w:left w:val="single" w:sz="4" w:space="0" w:color="00000A"/>
              <w:right w:val="single" w:sz="4" w:space="0" w:color="00000A"/>
            </w:tcBorders>
            <w:shd w:val="clear" w:color="auto" w:fill="auto"/>
            <w:vAlign w:val="center"/>
          </w:tcPr>
          <w:p w14:paraId="6D801DC1" w14:textId="77777777" w:rsidR="00FE5985" w:rsidRDefault="00FE5985" w:rsidP="006F2C4A">
            <w:pPr>
              <w:rPr>
                <w:rFonts w:ascii="Calibri" w:hAnsi="Calibri"/>
                <w:b/>
                <w:color w:val="000000"/>
              </w:rPr>
            </w:pPr>
          </w:p>
        </w:tc>
      </w:tr>
      <w:tr w:rsidR="00FE5985" w14:paraId="016E45C0" w14:textId="77777777" w:rsidTr="006625FA">
        <w:trPr>
          <w:trHeight w:val="366"/>
        </w:trPr>
        <w:tc>
          <w:tcPr>
            <w:tcW w:w="7514" w:type="dxa"/>
            <w:tcBorders>
              <w:top w:val="single" w:sz="4" w:space="0" w:color="auto"/>
              <w:left w:val="single" w:sz="4" w:space="0" w:color="auto"/>
              <w:bottom w:val="single" w:sz="4" w:space="0" w:color="auto"/>
              <w:right w:val="single" w:sz="4" w:space="0" w:color="00000A"/>
            </w:tcBorders>
            <w:vAlign w:val="center"/>
          </w:tcPr>
          <w:p w14:paraId="2E1FB99C" w14:textId="007C239B" w:rsidR="00FE5985" w:rsidRDefault="00FE5985" w:rsidP="00796946">
            <w:pPr>
              <w:spacing w:line="240" w:lineRule="auto"/>
              <w:jc w:val="both"/>
              <w:rPr>
                <w:sz w:val="18"/>
              </w:rPr>
            </w:pPr>
            <w:r>
              <w:rPr>
                <w:rFonts w:eastAsia="Times New Roman"/>
                <w:color w:val="000000"/>
                <w:sz w:val="20"/>
                <w:szCs w:val="20"/>
                <w:lang w:eastAsia="sk-SK"/>
              </w:rPr>
              <w:t xml:space="preserve">Dopravné náklady </w:t>
            </w:r>
          </w:p>
        </w:tc>
        <w:tc>
          <w:tcPr>
            <w:tcW w:w="2621" w:type="dxa"/>
            <w:vMerge/>
            <w:tcBorders>
              <w:left w:val="single" w:sz="4" w:space="0" w:color="00000A"/>
              <w:bottom w:val="single" w:sz="4" w:space="0" w:color="auto"/>
              <w:right w:val="single" w:sz="4" w:space="0" w:color="00000A"/>
            </w:tcBorders>
            <w:vAlign w:val="center"/>
          </w:tcPr>
          <w:p w14:paraId="12206FD0" w14:textId="2E4F7779" w:rsidR="00FE5985" w:rsidRPr="00FE5985" w:rsidRDefault="00FE5985" w:rsidP="00FE5985">
            <w:pPr>
              <w:rPr>
                <w:rFonts w:ascii="Calibri" w:hAnsi="Calibri"/>
                <w:b/>
                <w:color w:val="000000"/>
              </w:rPr>
            </w:pPr>
          </w:p>
        </w:tc>
      </w:tr>
    </w:tbl>
    <w:tbl>
      <w:tblPr>
        <w:tblpPr w:leftFromText="141" w:rightFromText="141" w:vertAnchor="text" w:horzAnchor="margin" w:tblpY="2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4A0" w:firstRow="1" w:lastRow="0" w:firstColumn="1" w:lastColumn="0" w:noHBand="0" w:noVBand="1"/>
      </w:tblPr>
      <w:tblGrid>
        <w:gridCol w:w="6677"/>
        <w:gridCol w:w="3383"/>
      </w:tblGrid>
      <w:tr w:rsidR="00796946" w14:paraId="1642DFAF" w14:textId="77777777" w:rsidTr="003F4E2C">
        <w:trPr>
          <w:trHeight w:val="551"/>
        </w:trPr>
        <w:tc>
          <w:tcPr>
            <w:tcW w:w="10060" w:type="dxa"/>
            <w:gridSpan w:val="2"/>
            <w:shd w:val="clear" w:color="auto" w:fill="auto"/>
            <w:vAlign w:val="center"/>
          </w:tcPr>
          <w:p w14:paraId="62FCC5F3" w14:textId="27BAB8DD" w:rsidR="00796946" w:rsidRPr="007D2B17" w:rsidRDefault="00796946" w:rsidP="007D2B17">
            <w:pPr>
              <w:rPr>
                <w:b/>
                <w:color w:val="000000"/>
                <w:sz w:val="20"/>
                <w:szCs w:val="20"/>
              </w:rPr>
            </w:pPr>
            <w:r>
              <w:rPr>
                <w:b/>
                <w:color w:val="000000"/>
                <w:sz w:val="20"/>
                <w:szCs w:val="20"/>
              </w:rPr>
              <w:t>Doplnkové služby</w:t>
            </w:r>
            <w:r w:rsidR="007D2B17">
              <w:rPr>
                <w:b/>
                <w:sz w:val="20"/>
                <w:szCs w:val="20"/>
              </w:rPr>
              <w:t xml:space="preserve">                                                                                                                                             </w:t>
            </w:r>
            <w:r w:rsidR="007D2B17" w:rsidRPr="00387593">
              <w:rPr>
                <w:rFonts w:cstheme="minorHAnsi"/>
                <w:sz w:val="18"/>
                <w:szCs w:val="18"/>
              </w:rPr>
              <w:t>(bez DPH)</w:t>
            </w:r>
          </w:p>
        </w:tc>
      </w:tr>
      <w:tr w:rsidR="00796946" w14:paraId="5CBD01C6" w14:textId="77777777" w:rsidTr="003F4E2C">
        <w:trPr>
          <w:trHeight w:val="624"/>
        </w:trPr>
        <w:tc>
          <w:tcPr>
            <w:tcW w:w="6677" w:type="dxa"/>
            <w:shd w:val="clear" w:color="auto" w:fill="auto"/>
            <w:vAlign w:val="center"/>
          </w:tcPr>
          <w:p w14:paraId="1E8BFF56" w14:textId="036EC637" w:rsidR="00796946" w:rsidRPr="00FE5985" w:rsidRDefault="00796946" w:rsidP="006F2C4A">
            <w:pPr>
              <w:spacing w:line="240" w:lineRule="auto"/>
              <w:jc w:val="both"/>
              <w:rPr>
                <w:color w:val="000000"/>
                <w:sz w:val="18"/>
                <w:szCs w:val="18"/>
              </w:rPr>
            </w:pPr>
            <w:r>
              <w:rPr>
                <w:color w:val="000000"/>
                <w:sz w:val="18"/>
                <w:szCs w:val="18"/>
              </w:rPr>
              <w:t xml:space="preserve">spracovanie </w:t>
            </w:r>
            <w:r w:rsidR="00FE5985">
              <w:rPr>
                <w:color w:val="000000"/>
                <w:sz w:val="18"/>
                <w:szCs w:val="18"/>
              </w:rPr>
              <w:t xml:space="preserve">dokumentov PZS (plán opatrení Covid-19, </w:t>
            </w:r>
            <w:r>
              <w:rPr>
                <w:color w:val="000000"/>
                <w:sz w:val="18"/>
                <w:szCs w:val="18"/>
              </w:rPr>
              <w:t>prevádzkového poriadku a posudku o riziku z hľadiska ochrany a podpory zdravia zamestnancov pri práci, ak tak ustanovujú osobitné predpisy</w:t>
            </w:r>
            <w:r w:rsidR="00FE5985">
              <w:rPr>
                <w:color w:val="000000"/>
                <w:sz w:val="18"/>
                <w:szCs w:val="18"/>
              </w:rPr>
              <w:t>)</w:t>
            </w:r>
          </w:p>
        </w:tc>
        <w:tc>
          <w:tcPr>
            <w:tcW w:w="3383" w:type="dxa"/>
            <w:shd w:val="clear" w:color="auto" w:fill="auto"/>
            <w:vAlign w:val="center"/>
          </w:tcPr>
          <w:p w14:paraId="7BCF5A02" w14:textId="28EA3EE0" w:rsidR="00796946" w:rsidRDefault="00796946" w:rsidP="006F2C4A">
            <w:pPr>
              <w:jc w:val="center"/>
              <w:rPr>
                <w:rFonts w:ascii="Calibri" w:hAnsi="Calibri"/>
                <w:color w:val="000000"/>
                <w:sz w:val="18"/>
                <w:szCs w:val="20"/>
              </w:rPr>
            </w:pPr>
            <w:r>
              <w:rPr>
                <w:color w:val="000000"/>
                <w:sz w:val="18"/>
                <w:szCs w:val="20"/>
              </w:rPr>
              <w:t>1</w:t>
            </w:r>
            <w:r w:rsidR="00FE5985">
              <w:rPr>
                <w:color w:val="000000"/>
                <w:sz w:val="18"/>
                <w:szCs w:val="20"/>
              </w:rPr>
              <w:t>7</w:t>
            </w:r>
            <w:r>
              <w:rPr>
                <w:color w:val="000000"/>
                <w:sz w:val="18"/>
                <w:szCs w:val="20"/>
              </w:rPr>
              <w:t>5,- € dokument</w:t>
            </w:r>
            <w:r w:rsidR="007D2B17">
              <w:rPr>
                <w:color w:val="000000"/>
                <w:sz w:val="18"/>
                <w:szCs w:val="20"/>
              </w:rPr>
              <w:t xml:space="preserve"> </w:t>
            </w:r>
          </w:p>
        </w:tc>
      </w:tr>
      <w:tr w:rsidR="00796946" w14:paraId="7D1D854D" w14:textId="77777777" w:rsidTr="003F4E2C">
        <w:trPr>
          <w:trHeight w:val="771"/>
        </w:trPr>
        <w:tc>
          <w:tcPr>
            <w:tcW w:w="6677" w:type="dxa"/>
            <w:shd w:val="clear" w:color="auto" w:fill="auto"/>
            <w:vAlign w:val="center"/>
          </w:tcPr>
          <w:p w14:paraId="59F9FD4B" w14:textId="77777777" w:rsidR="00796946" w:rsidRDefault="00796946" w:rsidP="006F2C4A">
            <w:pPr>
              <w:jc w:val="both"/>
              <w:rPr>
                <w:rFonts w:ascii="Calibri" w:hAnsi="Calibri"/>
                <w:color w:val="000000"/>
                <w:sz w:val="18"/>
                <w:szCs w:val="18"/>
              </w:rPr>
            </w:pPr>
            <w:r>
              <w:rPr>
                <w:color w:val="000000"/>
                <w:sz w:val="18"/>
                <w:szCs w:val="18"/>
              </w:rPr>
              <w:t xml:space="preserve">vzdelávanie zamestnancov na poskytnutie Prvej pomoci na pracovisku (1 skupina – minimálne 15 osôb, </w:t>
            </w:r>
            <w:r>
              <w:rPr>
                <w:b/>
                <w:color w:val="000000"/>
                <w:sz w:val="18"/>
                <w:szCs w:val="18"/>
              </w:rPr>
              <w:t>á 2 roky</w:t>
            </w:r>
            <w:r>
              <w:rPr>
                <w:color w:val="000000"/>
                <w:sz w:val="18"/>
                <w:szCs w:val="18"/>
              </w:rPr>
              <w:t>)</w:t>
            </w:r>
          </w:p>
          <w:p w14:paraId="66770374" w14:textId="77777777" w:rsidR="00796946" w:rsidRDefault="00796946" w:rsidP="006F2C4A">
            <w:pPr>
              <w:jc w:val="both"/>
              <w:rPr>
                <w:rFonts w:ascii="Calibri" w:hAnsi="Calibri"/>
                <w:color w:val="000000"/>
                <w:sz w:val="18"/>
                <w:szCs w:val="18"/>
              </w:rPr>
            </w:pPr>
            <w:r>
              <w:rPr>
                <w:color w:val="000000"/>
                <w:sz w:val="18"/>
                <w:szCs w:val="18"/>
              </w:rPr>
              <w:t xml:space="preserve">Podľa vyhlášky je potreba preškoliť 10% z celkového množstva zamestnancov </w:t>
            </w:r>
          </w:p>
        </w:tc>
        <w:tc>
          <w:tcPr>
            <w:tcW w:w="3383" w:type="dxa"/>
            <w:shd w:val="clear" w:color="auto" w:fill="auto"/>
            <w:vAlign w:val="center"/>
          </w:tcPr>
          <w:p w14:paraId="7ECC77D7" w14:textId="77777777" w:rsidR="00796946" w:rsidRDefault="00796946" w:rsidP="006F2C4A">
            <w:pPr>
              <w:jc w:val="center"/>
              <w:rPr>
                <w:rFonts w:ascii="Calibri" w:hAnsi="Calibri"/>
                <w:color w:val="000000"/>
                <w:sz w:val="18"/>
                <w:szCs w:val="20"/>
              </w:rPr>
            </w:pPr>
            <w:r>
              <w:rPr>
                <w:color w:val="000000"/>
                <w:sz w:val="18"/>
                <w:szCs w:val="20"/>
              </w:rPr>
              <w:t xml:space="preserve">1 zamestnanec / 18,00 </w:t>
            </w:r>
            <w:r>
              <w:rPr>
                <w:rFonts w:cs="Calibri"/>
                <w:color w:val="000000"/>
                <w:sz w:val="18"/>
                <w:szCs w:val="20"/>
              </w:rPr>
              <w:t>€</w:t>
            </w:r>
          </w:p>
          <w:p w14:paraId="051E793B" w14:textId="666AFC83" w:rsidR="00796946" w:rsidRDefault="00796946" w:rsidP="006F2C4A">
            <w:pPr>
              <w:jc w:val="center"/>
              <w:rPr>
                <w:rFonts w:ascii="Calibri" w:hAnsi="Calibri"/>
                <w:color w:val="000000"/>
                <w:sz w:val="18"/>
                <w:szCs w:val="20"/>
              </w:rPr>
            </w:pPr>
            <w:r>
              <w:rPr>
                <w:color w:val="000000"/>
                <w:sz w:val="18"/>
                <w:szCs w:val="20"/>
              </w:rPr>
              <w:t>alebo 1</w:t>
            </w:r>
            <w:r w:rsidR="00B5097D">
              <w:rPr>
                <w:color w:val="000000"/>
                <w:sz w:val="18"/>
                <w:szCs w:val="20"/>
              </w:rPr>
              <w:t>7</w:t>
            </w:r>
            <w:r>
              <w:rPr>
                <w:color w:val="000000"/>
                <w:sz w:val="18"/>
                <w:szCs w:val="20"/>
              </w:rPr>
              <w:t>5,-</w:t>
            </w:r>
            <w:r>
              <w:rPr>
                <w:rFonts w:cs="Calibri"/>
                <w:color w:val="000000"/>
                <w:sz w:val="18"/>
                <w:szCs w:val="20"/>
              </w:rPr>
              <w:t xml:space="preserve"> €</w:t>
            </w:r>
          </w:p>
        </w:tc>
      </w:tr>
      <w:tr w:rsidR="00796946" w14:paraId="18A120FC" w14:textId="77777777" w:rsidTr="003F4E2C">
        <w:trPr>
          <w:trHeight w:val="372"/>
        </w:trPr>
        <w:tc>
          <w:tcPr>
            <w:tcW w:w="6677" w:type="dxa"/>
            <w:vAlign w:val="center"/>
          </w:tcPr>
          <w:p w14:paraId="64BF9FE1" w14:textId="42A7E913" w:rsidR="00796946" w:rsidRDefault="00796946" w:rsidP="00796946">
            <w:pPr>
              <w:jc w:val="both"/>
              <w:rPr>
                <w:color w:val="000000"/>
                <w:sz w:val="18"/>
                <w:szCs w:val="18"/>
              </w:rPr>
            </w:pPr>
            <w:r>
              <w:rPr>
                <w:rFonts w:eastAsia="Times New Roman"/>
                <w:color w:val="000000"/>
                <w:sz w:val="20"/>
                <w:szCs w:val="20"/>
                <w:lang w:eastAsia="sk-SK"/>
              </w:rPr>
              <w:t xml:space="preserve">Dopravné náklady </w:t>
            </w:r>
          </w:p>
        </w:tc>
        <w:tc>
          <w:tcPr>
            <w:tcW w:w="3383" w:type="dxa"/>
            <w:vAlign w:val="center"/>
          </w:tcPr>
          <w:p w14:paraId="26655601" w14:textId="34DE02C4" w:rsidR="00796946" w:rsidRDefault="00891C02" w:rsidP="00796946">
            <w:pPr>
              <w:jc w:val="center"/>
              <w:rPr>
                <w:color w:val="000000"/>
                <w:sz w:val="18"/>
                <w:szCs w:val="20"/>
              </w:rPr>
            </w:pPr>
            <w:r>
              <w:rPr>
                <w:rFonts w:ascii="Calibri" w:hAnsi="Calibri"/>
                <w:color w:val="000000"/>
                <w:sz w:val="20"/>
                <w:szCs w:val="20"/>
              </w:rPr>
              <w:t>0,4 / km</w:t>
            </w:r>
          </w:p>
        </w:tc>
      </w:tr>
    </w:tbl>
    <w:p w14:paraId="708FD601" w14:textId="77777777" w:rsidR="00796946" w:rsidRDefault="00796946" w:rsidP="00796946">
      <w:pPr>
        <w:jc w:val="both"/>
      </w:pPr>
    </w:p>
    <w:p w14:paraId="5911C817" w14:textId="77777777" w:rsidR="00796946" w:rsidRDefault="00796946" w:rsidP="00796946">
      <w:pPr>
        <w:pStyle w:val="Odsekzoznamu"/>
        <w:numPr>
          <w:ilvl w:val="0"/>
          <w:numId w:val="3"/>
        </w:numPr>
        <w:ind w:left="284" w:hanging="284"/>
        <w:jc w:val="both"/>
        <w:rPr>
          <w:sz w:val="20"/>
        </w:rPr>
      </w:pPr>
      <w:r>
        <w:rPr>
          <w:sz w:val="20"/>
        </w:rPr>
        <w:t>V cene nie je započítaná daň z pridanej hodnoty, pretože poskytovateľ nie je platcom. V prípade, že sa poskytovateľ stane platcom dane z pridanej hodnoty, k cene bude táto daň pripočítaná v zmysle platných predpisov.</w:t>
      </w:r>
    </w:p>
    <w:p w14:paraId="1A361192" w14:textId="77777777" w:rsidR="00796946" w:rsidRDefault="00796946" w:rsidP="00796946">
      <w:pPr>
        <w:pStyle w:val="Odsekzoznamu"/>
        <w:numPr>
          <w:ilvl w:val="0"/>
          <w:numId w:val="3"/>
        </w:numPr>
        <w:ind w:left="284" w:hanging="284"/>
        <w:jc w:val="both"/>
        <w:rPr>
          <w:sz w:val="20"/>
          <w:szCs w:val="20"/>
        </w:rPr>
      </w:pPr>
      <w:r>
        <w:rPr>
          <w:sz w:val="20"/>
          <w:szCs w:val="20"/>
        </w:rPr>
        <w:t xml:space="preserve">Objednávateľ sa zaväzuje uhradiť dohodnuté platby na účet poskytovateľa na základe ním predloženej faktúry. Faktúra bude splatná do 14 dní od jej vystavenia. Objednávateľ súhlasí s elektronickým zasielaním faktúr. Faktúra musí spĺňať náležitosti účtovného dokladu v súlade s § 10 zákona č. 431/2002 </w:t>
      </w:r>
      <w:proofErr w:type="spellStart"/>
      <w:r>
        <w:rPr>
          <w:sz w:val="20"/>
          <w:szCs w:val="20"/>
        </w:rPr>
        <w:t>Z.z</w:t>
      </w:r>
      <w:proofErr w:type="spellEnd"/>
      <w:r>
        <w:rPr>
          <w:sz w:val="20"/>
          <w:szCs w:val="20"/>
        </w:rPr>
        <w:t>. o účtovníctve v </w:t>
      </w:r>
      <w:proofErr w:type="spellStart"/>
      <w:r>
        <w:rPr>
          <w:sz w:val="20"/>
          <w:szCs w:val="20"/>
        </w:rPr>
        <w:t>z.n.p</w:t>
      </w:r>
      <w:proofErr w:type="spellEnd"/>
      <w:r>
        <w:rPr>
          <w:sz w:val="20"/>
          <w:szCs w:val="20"/>
        </w:rPr>
        <w:t xml:space="preserve">. ako aj náležitosti s § 74 zákona č. 222/2004 </w:t>
      </w:r>
      <w:proofErr w:type="spellStart"/>
      <w:r>
        <w:rPr>
          <w:sz w:val="20"/>
          <w:szCs w:val="20"/>
        </w:rPr>
        <w:t>Z.z</w:t>
      </w:r>
      <w:proofErr w:type="spellEnd"/>
      <w:r>
        <w:rPr>
          <w:sz w:val="20"/>
          <w:szCs w:val="20"/>
        </w:rPr>
        <w:t>. o dani z pridanej hodnoty v </w:t>
      </w:r>
      <w:proofErr w:type="spellStart"/>
      <w:r>
        <w:rPr>
          <w:sz w:val="20"/>
          <w:szCs w:val="20"/>
        </w:rPr>
        <w:t>z.n.p</w:t>
      </w:r>
      <w:proofErr w:type="spellEnd"/>
      <w:r>
        <w:rPr>
          <w:sz w:val="20"/>
          <w:szCs w:val="20"/>
        </w:rPr>
        <w:t>.</w:t>
      </w:r>
    </w:p>
    <w:p w14:paraId="274CC124" w14:textId="77777777" w:rsidR="00796946" w:rsidRPr="00BC4843" w:rsidRDefault="00796946" w:rsidP="00796946">
      <w:pPr>
        <w:pStyle w:val="Odsekzoznamu"/>
        <w:numPr>
          <w:ilvl w:val="0"/>
          <w:numId w:val="3"/>
        </w:numPr>
        <w:ind w:left="284" w:hanging="284"/>
        <w:jc w:val="both"/>
        <w:rPr>
          <w:i/>
          <w:iCs/>
          <w:color w:val="FF0000"/>
          <w:sz w:val="20"/>
          <w:szCs w:val="20"/>
        </w:rPr>
      </w:pPr>
      <w:r>
        <w:rPr>
          <w:sz w:val="20"/>
        </w:rPr>
        <w:lastRenderedPageBreak/>
        <w:t xml:space="preserve">V prípade, ak sa objednávateľ dostane do omeškania s riadnym a včasným splnením svojho záväzku uvedeného v bode 1, je poskytovateľ oprávnený účtovať si úrok z omeškania vo výške podľa ustanovenia § 369 Obchodného zákonníka. </w:t>
      </w:r>
    </w:p>
    <w:p w14:paraId="469A5746" w14:textId="3F159B1D" w:rsidR="00796946" w:rsidRPr="00BC4843" w:rsidRDefault="00796946" w:rsidP="00796946">
      <w:pPr>
        <w:pStyle w:val="Odsekzoznamu"/>
        <w:numPr>
          <w:ilvl w:val="0"/>
          <w:numId w:val="3"/>
        </w:numPr>
        <w:ind w:left="284" w:hanging="284"/>
        <w:jc w:val="both"/>
        <w:rPr>
          <w:sz w:val="20"/>
          <w:szCs w:val="20"/>
        </w:rPr>
      </w:pPr>
      <w:r w:rsidRPr="001A33ED">
        <w:rPr>
          <w:color w:val="FF0000"/>
          <w:sz w:val="20"/>
        </w:rPr>
        <w:t xml:space="preserve"> </w:t>
      </w:r>
      <w:r w:rsidRPr="00BC4843">
        <w:rPr>
          <w:sz w:val="20"/>
        </w:rPr>
        <w:t xml:space="preserve">V zmysle § 369 a Obchodného zákonníka platí : </w:t>
      </w:r>
      <w:r w:rsidRPr="00BC4843">
        <w:rPr>
          <w:sz w:val="20"/>
          <w:szCs w:val="20"/>
        </w:rPr>
        <w:t>Dlžník, ktorým je subjekt verejného práva podľa § 261 ods. 3 a 5, ktorý je v omeškaní so splnením peňažného záväzku alebo jeho časti, je povinný platiť z nezaplatenej sumy úroky z omeškania najmenej v sadzbe podľa § 369 ods. 2.</w:t>
      </w:r>
    </w:p>
    <w:p w14:paraId="312A922A" w14:textId="77777777" w:rsidR="00796946" w:rsidRDefault="00796946" w:rsidP="00796946">
      <w:pPr>
        <w:ind w:left="284" w:hanging="284"/>
        <w:jc w:val="center"/>
        <w:rPr>
          <w:b/>
          <w:sz w:val="20"/>
        </w:rPr>
      </w:pPr>
      <w:r>
        <w:rPr>
          <w:b/>
          <w:sz w:val="20"/>
        </w:rPr>
        <w:t>Článok IV</w:t>
      </w:r>
    </w:p>
    <w:p w14:paraId="4936329E" w14:textId="07A364E3" w:rsidR="00796946" w:rsidRPr="00B5097D" w:rsidRDefault="00796946" w:rsidP="00796946">
      <w:pPr>
        <w:pStyle w:val="Odsekzoznamu"/>
        <w:numPr>
          <w:ilvl w:val="0"/>
          <w:numId w:val="4"/>
        </w:numPr>
        <w:ind w:left="284" w:hanging="284"/>
        <w:jc w:val="both"/>
        <w:rPr>
          <w:color w:val="FF0000"/>
        </w:rPr>
      </w:pPr>
      <w:r>
        <w:rPr>
          <w:sz w:val="20"/>
        </w:rPr>
        <w:t xml:space="preserve">Táto zmluva sa uzatvára </w:t>
      </w:r>
      <w:r>
        <w:rPr>
          <w:color w:val="000000"/>
          <w:sz w:val="20"/>
        </w:rPr>
        <w:t xml:space="preserve">na dobu </w:t>
      </w:r>
      <w:r w:rsidRPr="000A2512">
        <w:rPr>
          <w:sz w:val="20"/>
        </w:rPr>
        <w:t>neurčitú</w:t>
      </w:r>
      <w:r w:rsidR="000A2512">
        <w:rPr>
          <w:sz w:val="20"/>
        </w:rPr>
        <w:t>.</w:t>
      </w:r>
    </w:p>
    <w:p w14:paraId="3F40BDAD" w14:textId="77777777" w:rsidR="00796946" w:rsidRDefault="00796946" w:rsidP="00796946">
      <w:pPr>
        <w:pStyle w:val="Odsekzoznamu"/>
        <w:numPr>
          <w:ilvl w:val="0"/>
          <w:numId w:val="4"/>
        </w:numPr>
        <w:ind w:left="284" w:hanging="284"/>
        <w:jc w:val="both"/>
        <w:rPr>
          <w:sz w:val="20"/>
        </w:rPr>
      </w:pPr>
      <w:r>
        <w:rPr>
          <w:sz w:val="20"/>
        </w:rPr>
        <w:t>Táto zmluva zaniká:</w:t>
      </w:r>
    </w:p>
    <w:p w14:paraId="31B96D5D" w14:textId="77777777" w:rsidR="00796946" w:rsidRDefault="00796946" w:rsidP="00796946">
      <w:pPr>
        <w:pStyle w:val="Odsekzoznamu"/>
        <w:numPr>
          <w:ilvl w:val="0"/>
          <w:numId w:val="5"/>
        </w:numPr>
        <w:tabs>
          <w:tab w:val="left" w:pos="1134"/>
        </w:tabs>
        <w:ind w:left="284" w:hanging="284"/>
        <w:jc w:val="both"/>
        <w:rPr>
          <w:sz w:val="20"/>
        </w:rPr>
      </w:pPr>
      <w:r>
        <w:rPr>
          <w:sz w:val="20"/>
        </w:rPr>
        <w:t>Dohodou zmluvných strán,</w:t>
      </w:r>
    </w:p>
    <w:p w14:paraId="31A5689F" w14:textId="77777777" w:rsidR="00796946" w:rsidRDefault="00796946" w:rsidP="00796946">
      <w:pPr>
        <w:pStyle w:val="Odsekzoznamu"/>
        <w:numPr>
          <w:ilvl w:val="0"/>
          <w:numId w:val="5"/>
        </w:numPr>
        <w:tabs>
          <w:tab w:val="left" w:pos="1134"/>
        </w:tabs>
        <w:ind w:left="284" w:hanging="284"/>
        <w:jc w:val="both"/>
        <w:rPr>
          <w:sz w:val="20"/>
        </w:rPr>
      </w:pPr>
      <w:r>
        <w:rPr>
          <w:sz w:val="20"/>
        </w:rPr>
        <w:t>Výpoveďou,</w:t>
      </w:r>
    </w:p>
    <w:p w14:paraId="31AB5B74" w14:textId="77777777" w:rsidR="00796946" w:rsidRDefault="00796946" w:rsidP="00796946">
      <w:pPr>
        <w:pStyle w:val="Odsekzoznamu"/>
        <w:numPr>
          <w:ilvl w:val="0"/>
          <w:numId w:val="5"/>
        </w:numPr>
        <w:tabs>
          <w:tab w:val="left" w:pos="1134"/>
        </w:tabs>
        <w:ind w:left="284" w:hanging="284"/>
        <w:jc w:val="both"/>
        <w:rPr>
          <w:sz w:val="20"/>
        </w:rPr>
      </w:pPr>
      <w:r>
        <w:rPr>
          <w:sz w:val="20"/>
        </w:rPr>
        <w:t>Odstúpením od zmluvy.</w:t>
      </w:r>
    </w:p>
    <w:p w14:paraId="15E033C1" w14:textId="77777777" w:rsidR="00796946" w:rsidRPr="00BC4843" w:rsidRDefault="00796946" w:rsidP="00796946">
      <w:pPr>
        <w:pStyle w:val="Odsekzoznamu"/>
        <w:numPr>
          <w:ilvl w:val="0"/>
          <w:numId w:val="4"/>
        </w:numPr>
        <w:ind w:left="284" w:hanging="284"/>
        <w:jc w:val="both"/>
        <w:rPr>
          <w:sz w:val="20"/>
        </w:rPr>
      </w:pPr>
      <w:r>
        <w:rPr>
          <w:sz w:val="20"/>
        </w:rPr>
        <w:t xml:space="preserve">Právo vypovedať túto zmluvu má každá zmluvná strana, a to formou písomnej výpovede doručenou druhej zmluvnej strane. Výpovedná lehota je 2 mesačná a začína plynúť prvým dňom mesiaca nasledujúceho po </w:t>
      </w:r>
      <w:r w:rsidRPr="00BC4843">
        <w:rPr>
          <w:sz w:val="20"/>
        </w:rPr>
        <w:t>mesiaci</w:t>
      </w:r>
      <w:r>
        <w:rPr>
          <w:sz w:val="20"/>
        </w:rPr>
        <w:t>,</w:t>
      </w:r>
      <w:r w:rsidRPr="00BC4843">
        <w:rPr>
          <w:sz w:val="20"/>
        </w:rPr>
        <w:t xml:space="preserve"> v ktorom bola výpoveď doručená druhej zmluvnej strane.</w:t>
      </w:r>
    </w:p>
    <w:p w14:paraId="552E38F2" w14:textId="77777777" w:rsidR="00796946" w:rsidRDefault="00796946" w:rsidP="00796946">
      <w:pPr>
        <w:pStyle w:val="Odsekzoznamu"/>
        <w:numPr>
          <w:ilvl w:val="0"/>
          <w:numId w:val="4"/>
        </w:numPr>
        <w:ind w:left="284" w:hanging="284"/>
        <w:jc w:val="both"/>
        <w:rPr>
          <w:sz w:val="20"/>
        </w:rPr>
      </w:pPr>
      <w:r>
        <w:rPr>
          <w:sz w:val="20"/>
        </w:rPr>
        <w:t xml:space="preserve">Od tejto zmluvy môže Objednávateľ odstúpiť s okamžitou účinnosťou, </w:t>
      </w:r>
      <w:proofErr w:type="spellStart"/>
      <w:r>
        <w:rPr>
          <w:sz w:val="20"/>
        </w:rPr>
        <w:t>t.j</w:t>
      </w:r>
      <w:proofErr w:type="spellEnd"/>
      <w:r>
        <w:rPr>
          <w:sz w:val="20"/>
        </w:rPr>
        <w:t>. s účinnosťou ku dňu doručenia písomného odstúpenia Poskytovateľovi, ak Poskytovateľ riadne a včas neplní zmluvné záväzky, ak jej činnosťou alebo nečinnosťou vzniká alebo čo i len hrozí vznik škody Objednávateľovi.</w:t>
      </w:r>
    </w:p>
    <w:p w14:paraId="694B80D7" w14:textId="77777777" w:rsidR="00796946" w:rsidRDefault="00796946" w:rsidP="00796946">
      <w:pPr>
        <w:pStyle w:val="Odsekzoznamu"/>
        <w:numPr>
          <w:ilvl w:val="0"/>
          <w:numId w:val="4"/>
        </w:numPr>
        <w:ind w:left="284" w:hanging="284"/>
        <w:jc w:val="both"/>
        <w:rPr>
          <w:color w:val="FF0000"/>
          <w:sz w:val="20"/>
        </w:rPr>
      </w:pPr>
      <w:r>
        <w:rPr>
          <w:sz w:val="20"/>
        </w:rPr>
        <w:t xml:space="preserve">Poskytovateľ môže odstúpiť od zmluvy s okamžitou účinnosťou, </w:t>
      </w:r>
      <w:proofErr w:type="spellStart"/>
      <w:r>
        <w:rPr>
          <w:sz w:val="20"/>
        </w:rPr>
        <w:t>t.j</w:t>
      </w:r>
      <w:proofErr w:type="spellEnd"/>
      <w:r>
        <w:rPr>
          <w:sz w:val="20"/>
        </w:rPr>
        <w:t>. s účinnosťou ku dňu doručenia písomného odstúpenia Objednávateľovi, ak Objednávateľ  v dôsledku svojho zavinenia riadne a včas neplní zmluvné záväzky, ak jeho činnosťou alebo nečinnosťou vzniká Poskytovateľovi škoda a ďalej v prípade, ak sa objednávateľ dostane do omeškania so splnením svojich platobných povinností o viac ako 30 dní – v takomto prípade môže Poskytovateľ od zmluvy odstúpiť najskôr v deň nasledujúci po márnom uplynutí písomne poskytnutej náhradnej lehoty na vyrovnanie neuhradenej sumy</w:t>
      </w:r>
      <w:r w:rsidRPr="00492AB1">
        <w:rPr>
          <w:color w:val="FF0000"/>
          <w:sz w:val="20"/>
        </w:rPr>
        <w:t>.</w:t>
      </w:r>
    </w:p>
    <w:p w14:paraId="109AABA6" w14:textId="77777777" w:rsidR="00796946" w:rsidRPr="00BC4843" w:rsidRDefault="00796946" w:rsidP="00796946">
      <w:pPr>
        <w:pStyle w:val="Odsekzoznamu"/>
        <w:numPr>
          <w:ilvl w:val="0"/>
          <w:numId w:val="4"/>
        </w:numPr>
        <w:ind w:left="284" w:hanging="284"/>
        <w:jc w:val="both"/>
        <w:rPr>
          <w:sz w:val="20"/>
        </w:rPr>
      </w:pPr>
      <w:r w:rsidRPr="00492AB1">
        <w:rPr>
          <w:color w:val="FF0000"/>
          <w:sz w:val="20"/>
        </w:rPr>
        <w:t xml:space="preserve"> </w:t>
      </w:r>
      <w:r w:rsidRPr="00BC4843">
        <w:rPr>
          <w:sz w:val="20"/>
        </w:rPr>
        <w:t xml:space="preserve">Za riadne doručenie odstúpenia od zmluvy sa považuje jeho zaslanie na adresu druhej zmluvnej strany uvedenú v záhlaví tejto zmluvy, a to aj vtedy, ak si druhá strana doručenú výpoveď v odbernej lehote nevyzdvihne. </w:t>
      </w:r>
    </w:p>
    <w:p w14:paraId="18B7B63B" w14:textId="77777777" w:rsidR="00796946" w:rsidRDefault="00796946" w:rsidP="00796946">
      <w:pPr>
        <w:pStyle w:val="Odsekzoznamu"/>
        <w:ind w:left="284" w:hanging="284"/>
        <w:jc w:val="both"/>
        <w:rPr>
          <w:sz w:val="20"/>
        </w:rPr>
      </w:pPr>
    </w:p>
    <w:p w14:paraId="5AD6AE61" w14:textId="77777777" w:rsidR="00796946" w:rsidRDefault="00796946" w:rsidP="00796946">
      <w:pPr>
        <w:pStyle w:val="Odsekzoznamu"/>
        <w:ind w:left="284" w:hanging="284"/>
        <w:jc w:val="center"/>
        <w:rPr>
          <w:b/>
          <w:sz w:val="20"/>
        </w:rPr>
      </w:pPr>
      <w:r>
        <w:rPr>
          <w:b/>
          <w:sz w:val="20"/>
        </w:rPr>
        <w:t>Článok V</w:t>
      </w:r>
    </w:p>
    <w:p w14:paraId="78EC9ADF" w14:textId="77777777" w:rsidR="00796946" w:rsidRPr="00492AB1" w:rsidRDefault="00796946" w:rsidP="00796946">
      <w:pPr>
        <w:pStyle w:val="Odsekzoznamu"/>
        <w:numPr>
          <w:ilvl w:val="0"/>
          <w:numId w:val="6"/>
        </w:numPr>
        <w:ind w:left="284" w:hanging="284"/>
        <w:jc w:val="both"/>
        <w:rPr>
          <w:i/>
          <w:iCs/>
          <w:sz w:val="20"/>
          <w:szCs w:val="20"/>
        </w:rPr>
      </w:pPr>
      <w:r>
        <w:rPr>
          <w:sz w:val="20"/>
          <w:szCs w:val="20"/>
        </w:rPr>
        <w:t xml:space="preserve">Zmluvné strany sa dohodli, že informácie, ktoré poskytli pri rokovaniach o uzavretí tejto zmluvy alebo získali pri výkone práv a povinností podľa tejto zmluvy sa považujú za dôverné informácie v zmysle § 271 zákona č. 513/1991 Zb. obchodný zákonník. Dôverné informácie sú najmä akékoľvek informácie o niektorej zmluvnej strane obchodnej, technickej alebo ekonomickej povahy, informácie o zamestnancoch a klientoch zmluvnej strany, cenové dohody zmluvných strán, </w:t>
      </w:r>
      <w:proofErr w:type="spellStart"/>
      <w:r>
        <w:rPr>
          <w:sz w:val="20"/>
          <w:szCs w:val="20"/>
        </w:rPr>
        <w:t>know</w:t>
      </w:r>
      <w:proofErr w:type="spellEnd"/>
      <w:r>
        <w:rPr>
          <w:sz w:val="20"/>
          <w:szCs w:val="20"/>
        </w:rPr>
        <w:t xml:space="preserve"> </w:t>
      </w:r>
      <w:proofErr w:type="spellStart"/>
      <w:r>
        <w:rPr>
          <w:sz w:val="20"/>
          <w:szCs w:val="20"/>
        </w:rPr>
        <w:t>how</w:t>
      </w:r>
      <w:proofErr w:type="spellEnd"/>
      <w:r>
        <w:rPr>
          <w:sz w:val="20"/>
          <w:szCs w:val="20"/>
        </w:rPr>
        <w:t xml:space="preserve"> niektorej zmluvnej strany, špecifikácie, počítačové databázy, software alebo dokumentácie v akejkoľvek podobe. </w:t>
      </w:r>
    </w:p>
    <w:p w14:paraId="27FE62D6" w14:textId="77777777" w:rsidR="00796946" w:rsidRDefault="00796946" w:rsidP="00796946">
      <w:pPr>
        <w:pStyle w:val="Odsekzoznamu"/>
        <w:numPr>
          <w:ilvl w:val="0"/>
          <w:numId w:val="6"/>
        </w:numPr>
        <w:ind w:left="284" w:hanging="284"/>
        <w:jc w:val="both"/>
        <w:rPr>
          <w:sz w:val="20"/>
          <w:szCs w:val="20"/>
        </w:rPr>
      </w:pPr>
      <w:r>
        <w:rPr>
          <w:sz w:val="20"/>
          <w:szCs w:val="20"/>
        </w:rPr>
        <w:t xml:space="preserve">Dôverné informácie sa zmluvné strany zaväzujú chrániť a neposkytovať ich tretím osobám – s výnimkou plnenia povinností vyplývajúcich zo všeobecne záväzných právnych predpisov najmä podľa zákona č. 211/2000 </w:t>
      </w:r>
      <w:proofErr w:type="spellStart"/>
      <w:r>
        <w:rPr>
          <w:sz w:val="20"/>
          <w:szCs w:val="20"/>
        </w:rPr>
        <w:t>Z.z</w:t>
      </w:r>
      <w:proofErr w:type="spellEnd"/>
      <w:r>
        <w:rPr>
          <w:sz w:val="20"/>
          <w:szCs w:val="20"/>
        </w:rPr>
        <w:t xml:space="preserve">. </w:t>
      </w:r>
      <w:r w:rsidRPr="00BC4843">
        <w:rPr>
          <w:sz w:val="20"/>
          <w:szCs w:val="20"/>
        </w:rPr>
        <w:t xml:space="preserve">o slobodnom prístupe k informáciám a o zmene a doplnení niektorých zákonov (zákon o slobode informácií) </w:t>
      </w:r>
      <w:r>
        <w:rPr>
          <w:sz w:val="20"/>
          <w:szCs w:val="20"/>
        </w:rPr>
        <w:t xml:space="preserve">v znení neskorších predpisov, nezneužívať ich a najmä nepoužívať ich v rozpore s ich účelom pre svoje potreby, na úkor druhej zmluvnej strany. </w:t>
      </w:r>
    </w:p>
    <w:p w14:paraId="65226F1A" w14:textId="77777777" w:rsidR="00796946" w:rsidRDefault="00796946" w:rsidP="00796946">
      <w:pPr>
        <w:pStyle w:val="Odsekzoznamu"/>
        <w:numPr>
          <w:ilvl w:val="0"/>
          <w:numId w:val="6"/>
        </w:numPr>
        <w:ind w:left="284" w:hanging="284"/>
        <w:jc w:val="both"/>
        <w:rPr>
          <w:sz w:val="20"/>
        </w:rPr>
      </w:pPr>
      <w:r>
        <w:rPr>
          <w:sz w:val="20"/>
          <w:szCs w:val="20"/>
        </w:rPr>
        <w:t>Práva a povinnosti zmluvných strán vyplývajúce zo zachovania mlčanlivosti budú trvať aj po ukončení účinnosti tejto zmluvy, a to až do doby, než sa stanú verejne známymi alebo prístupnými bez porušenia povinnosti niektorou zmluvnou stranou, prípadne treťou osobou.</w:t>
      </w:r>
    </w:p>
    <w:p w14:paraId="750D1D98" w14:textId="77777777" w:rsidR="00796946" w:rsidRDefault="00796946" w:rsidP="00796946">
      <w:pPr>
        <w:spacing w:after="60"/>
        <w:ind w:left="284" w:hanging="284"/>
        <w:jc w:val="center"/>
        <w:rPr>
          <w:b/>
          <w:sz w:val="20"/>
        </w:rPr>
      </w:pPr>
    </w:p>
    <w:p w14:paraId="133558AB" w14:textId="77777777" w:rsidR="00796946" w:rsidRDefault="00796946" w:rsidP="00796946">
      <w:pPr>
        <w:spacing w:after="60"/>
        <w:ind w:left="284" w:hanging="284"/>
        <w:jc w:val="center"/>
        <w:rPr>
          <w:b/>
          <w:sz w:val="20"/>
        </w:rPr>
      </w:pPr>
      <w:r>
        <w:rPr>
          <w:b/>
          <w:sz w:val="20"/>
        </w:rPr>
        <w:t>Článok VI</w:t>
      </w:r>
    </w:p>
    <w:p w14:paraId="009742C2" w14:textId="77777777" w:rsidR="00796946" w:rsidRDefault="00796946" w:rsidP="00796946">
      <w:pPr>
        <w:spacing w:after="60"/>
        <w:ind w:left="284" w:hanging="284"/>
        <w:jc w:val="center"/>
        <w:rPr>
          <w:b/>
          <w:sz w:val="20"/>
        </w:rPr>
      </w:pPr>
      <w:r>
        <w:rPr>
          <w:b/>
          <w:sz w:val="20"/>
        </w:rPr>
        <w:t>Záverečné ustanovenia</w:t>
      </w:r>
    </w:p>
    <w:p w14:paraId="45E8CD84" w14:textId="77777777" w:rsidR="00796946" w:rsidRDefault="00796946" w:rsidP="00796946">
      <w:pPr>
        <w:pStyle w:val="Odsekzoznamu"/>
        <w:numPr>
          <w:ilvl w:val="0"/>
          <w:numId w:val="7"/>
        </w:numPr>
        <w:ind w:left="284" w:hanging="284"/>
        <w:jc w:val="both"/>
        <w:rPr>
          <w:sz w:val="20"/>
          <w:szCs w:val="20"/>
        </w:rPr>
      </w:pPr>
      <w:r>
        <w:rPr>
          <w:sz w:val="20"/>
          <w:szCs w:val="20"/>
        </w:rPr>
        <w:t xml:space="preserve">Zmluva sa uzatvára podľa § 269 ods. 2 zákona č. 513/1991 Zb. Obchodného zákonníka v znení neskorších doplnení. Vzťahy účastníkov zmluvou neupravené sa spravujú príslušnými ustanoveniami Obchodného zákonníka </w:t>
      </w:r>
      <w:r w:rsidRPr="00BC4843">
        <w:rPr>
          <w:sz w:val="20"/>
          <w:szCs w:val="20"/>
        </w:rPr>
        <w:t>a</w:t>
      </w:r>
      <w:r>
        <w:rPr>
          <w:sz w:val="20"/>
          <w:szCs w:val="20"/>
        </w:rPr>
        <w:t xml:space="preserve"> zákona NR SR č. 355/2007 </w:t>
      </w:r>
      <w:proofErr w:type="spellStart"/>
      <w:r>
        <w:rPr>
          <w:sz w:val="20"/>
          <w:szCs w:val="20"/>
        </w:rPr>
        <w:t>Z.z</w:t>
      </w:r>
      <w:proofErr w:type="spellEnd"/>
      <w:r>
        <w:rPr>
          <w:sz w:val="20"/>
          <w:szCs w:val="20"/>
        </w:rPr>
        <w:t>. o ochrane, podpore a rozvoji verejného zdravia a o zmene a doplnení niektorých zákonov v znení neskorších predpisov.</w:t>
      </w:r>
    </w:p>
    <w:p w14:paraId="0F210DE9" w14:textId="77777777" w:rsidR="00796946" w:rsidRDefault="00796946" w:rsidP="00796946">
      <w:pPr>
        <w:pStyle w:val="Odsekzoznamu"/>
        <w:numPr>
          <w:ilvl w:val="0"/>
          <w:numId w:val="7"/>
        </w:numPr>
        <w:ind w:left="284" w:hanging="284"/>
        <w:jc w:val="both"/>
        <w:rPr>
          <w:sz w:val="20"/>
          <w:szCs w:val="20"/>
        </w:rPr>
      </w:pPr>
      <w:r>
        <w:rPr>
          <w:sz w:val="20"/>
          <w:szCs w:val="20"/>
        </w:rPr>
        <w:lastRenderedPageBreak/>
        <w:t>Táto zmluva je vyhotovená v dvoch rovnopisoch. Poskytovateľ obdrží po podpísaní jeden rovnopis a objednávateľ jeden rovnopis, z ktorých každý má platnosť originálu.</w:t>
      </w:r>
    </w:p>
    <w:p w14:paraId="021F5121" w14:textId="77777777" w:rsidR="00796946" w:rsidRDefault="00796946" w:rsidP="00796946">
      <w:pPr>
        <w:pStyle w:val="Odsekzoznamu"/>
        <w:numPr>
          <w:ilvl w:val="0"/>
          <w:numId w:val="7"/>
        </w:numPr>
        <w:ind w:left="284" w:hanging="284"/>
        <w:jc w:val="both"/>
        <w:rPr>
          <w:sz w:val="20"/>
          <w:szCs w:val="20"/>
        </w:rPr>
      </w:pPr>
      <w:r>
        <w:rPr>
          <w:sz w:val="20"/>
          <w:szCs w:val="20"/>
        </w:rPr>
        <w:t>Túto zmluvu je možné dopĺňať alebo meniť dodatkami ku zmluve, ktoré je možné vykonať len so súhlasom obidvoch strán a to výlučne v písomnej forme. Dodatky nadobúdajú platnosť a účinnosť podľa príslušných ustanovení o povinnom zverejňovaní.</w:t>
      </w:r>
    </w:p>
    <w:p w14:paraId="06781C49" w14:textId="77777777" w:rsidR="00796946" w:rsidRDefault="00796946" w:rsidP="00796946">
      <w:pPr>
        <w:pStyle w:val="Odsekzoznamu"/>
        <w:numPr>
          <w:ilvl w:val="0"/>
          <w:numId w:val="7"/>
        </w:numPr>
        <w:ind w:left="284" w:hanging="284"/>
        <w:jc w:val="both"/>
        <w:rPr>
          <w:sz w:val="20"/>
          <w:szCs w:val="20"/>
        </w:rPr>
      </w:pPr>
      <w:r>
        <w:rPr>
          <w:sz w:val="20"/>
          <w:szCs w:val="20"/>
        </w:rPr>
        <w:t>Zmluvné strany vyhlasujú, že si zmluvu pred jej podpisom pozorne prečítali, jej obsahu porozumeli a ten predstavuje ich skutočnú vôľu zbavenú akýchkoľvek omylov. Svoje prejavy vôle obsiahnuté v tejto zmluve zmluvné strany považujú za určité a zrozumiteľné, vyjadrené nie v tiesni, a nie za nápadne nevýhodných podmienok.</w:t>
      </w:r>
    </w:p>
    <w:p w14:paraId="48E1BFF6" w14:textId="77777777" w:rsidR="00796946" w:rsidRPr="00BC4843" w:rsidRDefault="00796946" w:rsidP="00796946">
      <w:pPr>
        <w:pStyle w:val="Odsekzoznamu"/>
        <w:numPr>
          <w:ilvl w:val="0"/>
          <w:numId w:val="7"/>
        </w:numPr>
        <w:ind w:left="284" w:hanging="284"/>
        <w:jc w:val="both"/>
        <w:rPr>
          <w:sz w:val="20"/>
          <w:szCs w:val="20"/>
        </w:rPr>
      </w:pPr>
      <w:r>
        <w:rPr>
          <w:sz w:val="20"/>
          <w:szCs w:val="20"/>
        </w:rPr>
        <w:t xml:space="preserve">Zmluvné strany na znak svojho súhlasu s obsahom tejto zmluvy túto zmluvu </w:t>
      </w:r>
      <w:r w:rsidRPr="00BC4843">
        <w:rPr>
          <w:sz w:val="20"/>
          <w:szCs w:val="20"/>
        </w:rPr>
        <w:t>podpisujú</w:t>
      </w:r>
      <w:r>
        <w:rPr>
          <w:sz w:val="20"/>
          <w:szCs w:val="20"/>
        </w:rPr>
        <w:t>.</w:t>
      </w:r>
    </w:p>
    <w:p w14:paraId="178E2DFB" w14:textId="77777777" w:rsidR="00796946" w:rsidRDefault="00796946" w:rsidP="00796946">
      <w:pPr>
        <w:pStyle w:val="Odsekzoznamu"/>
        <w:numPr>
          <w:ilvl w:val="0"/>
          <w:numId w:val="7"/>
        </w:numPr>
        <w:ind w:left="284" w:hanging="284"/>
        <w:jc w:val="both"/>
      </w:pPr>
      <w:r>
        <w:rPr>
          <w:sz w:val="20"/>
          <w:szCs w:val="20"/>
        </w:rPr>
        <w:t>Táto zmluva nadobúda platnosť dňom jej podpísania oprávnenými zástupcami zmluvných strán a účinnosť dňom, ktorý nasleduje po dni jej zverejnenia na webovom sídle objednávateľa.</w:t>
      </w:r>
      <w:r>
        <w:rPr>
          <w:sz w:val="20"/>
          <w:szCs w:val="20"/>
        </w:rPr>
        <w:tab/>
      </w:r>
    </w:p>
    <w:p w14:paraId="4486B6C6" w14:textId="77777777" w:rsidR="00796946" w:rsidRDefault="00796946" w:rsidP="00796946">
      <w:pPr>
        <w:jc w:val="both"/>
        <w:rPr>
          <w:b/>
          <w:sz w:val="20"/>
        </w:rPr>
      </w:pPr>
    </w:p>
    <w:p w14:paraId="7F1E936E" w14:textId="1C19442D" w:rsidR="00796946" w:rsidRDefault="00796946" w:rsidP="00796946">
      <w:pPr>
        <w:jc w:val="both"/>
      </w:pPr>
      <w:r>
        <w:rPr>
          <w:b/>
          <w:sz w:val="20"/>
        </w:rPr>
        <w:t>V</w:t>
      </w:r>
      <w:r w:rsidR="006C4F07">
        <w:rPr>
          <w:b/>
          <w:sz w:val="20"/>
        </w:rPr>
        <w:t> </w:t>
      </w:r>
      <w:r w:rsidR="00785449">
        <w:rPr>
          <w:b/>
          <w:sz w:val="20"/>
        </w:rPr>
        <w:t>Senici</w:t>
      </w:r>
      <w:r>
        <w:rPr>
          <w:b/>
          <w:sz w:val="20"/>
        </w:rPr>
        <w:t>, dňa ............................</w:t>
      </w:r>
    </w:p>
    <w:p w14:paraId="530AEA6E" w14:textId="77777777" w:rsidR="00796946" w:rsidRDefault="00796946" w:rsidP="00796946">
      <w:pPr>
        <w:jc w:val="both"/>
        <w:rPr>
          <w:b/>
          <w:sz w:val="20"/>
        </w:rPr>
      </w:pPr>
    </w:p>
    <w:p w14:paraId="64D06762" w14:textId="77777777" w:rsidR="00796946" w:rsidRDefault="00796946" w:rsidP="00796946">
      <w:pPr>
        <w:jc w:val="both"/>
        <w:rPr>
          <w:b/>
          <w:sz w:val="20"/>
        </w:rPr>
      </w:pPr>
    </w:p>
    <w:p w14:paraId="2A1B0A3F" w14:textId="77777777" w:rsidR="00796946" w:rsidRDefault="00796946" w:rsidP="00796946">
      <w:pPr>
        <w:jc w:val="both"/>
        <w:rPr>
          <w:b/>
          <w:sz w:val="20"/>
        </w:rPr>
      </w:pPr>
    </w:p>
    <w:p w14:paraId="6A64DF16" w14:textId="77777777" w:rsidR="00796946" w:rsidRDefault="00796946" w:rsidP="00796946">
      <w:pPr>
        <w:jc w:val="both"/>
        <w:rPr>
          <w:b/>
          <w:sz w:val="20"/>
        </w:rPr>
      </w:pPr>
      <w:r>
        <w:rPr>
          <w:b/>
          <w:sz w:val="20"/>
        </w:rPr>
        <w:t xml:space="preserve">            ……………………………………….                                                                                ……………………………………….</w:t>
      </w:r>
    </w:p>
    <w:p w14:paraId="3ACF44C8" w14:textId="51B4CDAD" w:rsidR="00796946" w:rsidRPr="000A2512" w:rsidRDefault="00796946" w:rsidP="00796946">
      <w:pPr>
        <w:jc w:val="both"/>
        <w:rPr>
          <w:b/>
          <w:sz w:val="20"/>
        </w:rPr>
      </w:pPr>
      <w:r>
        <w:rPr>
          <w:b/>
          <w:sz w:val="20"/>
        </w:rPr>
        <w:t xml:space="preserve">                        Objednávateľ   </w:t>
      </w:r>
      <w:r w:rsidR="000A2512">
        <w:rPr>
          <w:b/>
          <w:sz w:val="20"/>
        </w:rPr>
        <w:t xml:space="preserve">                                                                                                  </w:t>
      </w:r>
      <w:r>
        <w:rPr>
          <w:b/>
          <w:sz w:val="20"/>
        </w:rPr>
        <w:t xml:space="preserve">  Poskytovateľ</w:t>
      </w:r>
    </w:p>
    <w:p w14:paraId="3C8E74D0" w14:textId="336049C4" w:rsidR="00796946" w:rsidRDefault="00796946" w:rsidP="00796946">
      <w:pPr>
        <w:shd w:val="clear" w:color="auto" w:fill="FFFFFF"/>
        <w:spacing w:after="0" w:line="240" w:lineRule="auto"/>
        <w:jc w:val="both"/>
        <w:rPr>
          <w:rFonts w:eastAsia="Times New Roman" w:cs="Arial"/>
          <w:b/>
          <w:sz w:val="20"/>
          <w:szCs w:val="20"/>
          <w:lang w:eastAsia="sk-SK"/>
        </w:rPr>
      </w:pPr>
      <w:r>
        <w:rPr>
          <w:rFonts w:eastAsia="Times New Roman" w:cs="Arial"/>
          <w:b/>
          <w:sz w:val="20"/>
          <w:szCs w:val="20"/>
          <w:lang w:eastAsia="sk-SK"/>
        </w:rPr>
        <w:t xml:space="preserve">             </w:t>
      </w:r>
      <w:r w:rsidR="000A2512">
        <w:rPr>
          <w:rFonts w:eastAsia="Times New Roman" w:cs="Arial"/>
          <w:b/>
          <w:sz w:val="20"/>
          <w:szCs w:val="20"/>
          <w:lang w:eastAsia="sk-SK"/>
        </w:rPr>
        <w:t xml:space="preserve">Sociálny podnik mesta Senica, </w:t>
      </w:r>
      <w:proofErr w:type="spellStart"/>
      <w:r w:rsidR="000A2512">
        <w:rPr>
          <w:rFonts w:eastAsia="Times New Roman" w:cs="Arial"/>
          <w:b/>
          <w:sz w:val="20"/>
          <w:szCs w:val="20"/>
          <w:lang w:eastAsia="sk-SK"/>
        </w:rPr>
        <w:t>s.r.o</w:t>
      </w:r>
      <w:proofErr w:type="spellEnd"/>
      <w:r w:rsidR="000A2512">
        <w:rPr>
          <w:rFonts w:eastAsia="Times New Roman" w:cs="Arial"/>
          <w:b/>
          <w:sz w:val="20"/>
          <w:szCs w:val="20"/>
          <w:lang w:eastAsia="sk-SK"/>
        </w:rPr>
        <w:t xml:space="preserve">                                                                  </w:t>
      </w:r>
      <w:r>
        <w:rPr>
          <w:rFonts w:eastAsia="Times New Roman" w:cs="Arial"/>
          <w:b/>
          <w:sz w:val="20"/>
          <w:szCs w:val="20"/>
          <w:lang w:eastAsia="sk-SK"/>
        </w:rPr>
        <w:t xml:space="preserve">MYPRO </w:t>
      </w:r>
      <w:proofErr w:type="spellStart"/>
      <w:r>
        <w:rPr>
          <w:rFonts w:eastAsia="Times New Roman" w:cs="Arial"/>
          <w:b/>
          <w:sz w:val="20"/>
          <w:szCs w:val="20"/>
          <w:lang w:eastAsia="sk-SK"/>
        </w:rPr>
        <w:t>s.r.o</w:t>
      </w:r>
      <w:proofErr w:type="spellEnd"/>
      <w:r>
        <w:rPr>
          <w:rFonts w:eastAsia="Times New Roman" w:cs="Arial"/>
          <w:b/>
          <w:sz w:val="20"/>
          <w:szCs w:val="20"/>
          <w:lang w:eastAsia="sk-SK"/>
        </w:rPr>
        <w:t>.</w:t>
      </w:r>
    </w:p>
    <w:p w14:paraId="58EDED7A" w14:textId="6DD8A046" w:rsidR="006C4F07" w:rsidRPr="006C4F07" w:rsidRDefault="006C4F07" w:rsidP="00796946">
      <w:pPr>
        <w:shd w:val="clear" w:color="auto" w:fill="FFFFFF"/>
        <w:spacing w:after="0" w:line="240" w:lineRule="auto"/>
        <w:jc w:val="both"/>
        <w:rPr>
          <w:rFonts w:eastAsia="Times New Roman" w:cs="Arial"/>
          <w:bCs/>
          <w:sz w:val="20"/>
          <w:szCs w:val="20"/>
          <w:lang w:eastAsia="sk-SK"/>
        </w:rPr>
      </w:pPr>
      <w:r>
        <w:rPr>
          <w:rFonts w:eastAsia="Times New Roman" w:cs="Arial"/>
          <w:b/>
          <w:sz w:val="20"/>
          <w:szCs w:val="20"/>
          <w:lang w:eastAsia="sk-SK"/>
        </w:rPr>
        <w:tab/>
      </w:r>
      <w:r w:rsidR="000A2512" w:rsidRPr="000A2512">
        <w:rPr>
          <w:rFonts w:eastAsia="Times New Roman" w:cs="Arial"/>
          <w:sz w:val="20"/>
          <w:szCs w:val="20"/>
          <w:lang w:eastAsia="sk-SK"/>
        </w:rPr>
        <w:t xml:space="preserve">Ing. Nora </w:t>
      </w:r>
      <w:proofErr w:type="spellStart"/>
      <w:r w:rsidR="000A2512" w:rsidRPr="000A2512">
        <w:rPr>
          <w:rFonts w:eastAsia="Times New Roman" w:cs="Arial"/>
          <w:sz w:val="20"/>
          <w:szCs w:val="20"/>
          <w:lang w:eastAsia="sk-SK"/>
        </w:rPr>
        <w:t>Černáčková</w:t>
      </w:r>
      <w:proofErr w:type="spellEnd"/>
      <w:r>
        <w:rPr>
          <w:rFonts w:eastAsia="Times New Roman" w:cs="Arial"/>
          <w:b/>
          <w:sz w:val="20"/>
          <w:szCs w:val="20"/>
          <w:lang w:eastAsia="sk-SK"/>
        </w:rPr>
        <w:tab/>
      </w:r>
      <w:r>
        <w:rPr>
          <w:rFonts w:eastAsia="Times New Roman" w:cs="Arial"/>
          <w:b/>
          <w:sz w:val="20"/>
          <w:szCs w:val="20"/>
          <w:lang w:eastAsia="sk-SK"/>
        </w:rPr>
        <w:tab/>
      </w:r>
      <w:r>
        <w:rPr>
          <w:rFonts w:eastAsia="Times New Roman" w:cs="Arial"/>
          <w:b/>
          <w:sz w:val="20"/>
          <w:szCs w:val="20"/>
          <w:lang w:eastAsia="sk-SK"/>
        </w:rPr>
        <w:tab/>
      </w:r>
      <w:r>
        <w:rPr>
          <w:rFonts w:eastAsia="Times New Roman" w:cs="Arial"/>
          <w:b/>
          <w:sz w:val="20"/>
          <w:szCs w:val="20"/>
          <w:lang w:eastAsia="sk-SK"/>
        </w:rPr>
        <w:tab/>
      </w:r>
      <w:r>
        <w:rPr>
          <w:rFonts w:eastAsia="Times New Roman" w:cs="Arial"/>
          <w:b/>
          <w:sz w:val="20"/>
          <w:szCs w:val="20"/>
          <w:lang w:eastAsia="sk-SK"/>
        </w:rPr>
        <w:tab/>
      </w:r>
      <w:r w:rsidR="000A2512">
        <w:rPr>
          <w:rFonts w:eastAsia="Times New Roman" w:cs="Arial"/>
          <w:b/>
          <w:sz w:val="20"/>
          <w:szCs w:val="20"/>
          <w:lang w:eastAsia="sk-SK"/>
        </w:rPr>
        <w:t xml:space="preserve">                 </w:t>
      </w:r>
      <w:r w:rsidRPr="006C4F07">
        <w:rPr>
          <w:rFonts w:eastAsia="Times New Roman" w:cs="Arial"/>
          <w:bCs/>
          <w:sz w:val="20"/>
          <w:szCs w:val="20"/>
          <w:lang w:eastAsia="sk-SK"/>
        </w:rPr>
        <w:t xml:space="preserve">Bc. Erika Šutá, </w:t>
      </w:r>
      <w:proofErr w:type="spellStart"/>
      <w:r w:rsidRPr="006C4F07">
        <w:rPr>
          <w:rFonts w:eastAsia="Times New Roman" w:cs="Arial"/>
          <w:bCs/>
          <w:sz w:val="20"/>
          <w:szCs w:val="20"/>
          <w:lang w:eastAsia="sk-SK"/>
        </w:rPr>
        <w:t>dipl.a.h.e</w:t>
      </w:r>
      <w:proofErr w:type="spellEnd"/>
      <w:r w:rsidRPr="006C4F07">
        <w:rPr>
          <w:rFonts w:eastAsia="Times New Roman" w:cs="Arial"/>
          <w:bCs/>
          <w:sz w:val="20"/>
          <w:szCs w:val="20"/>
          <w:lang w:eastAsia="sk-SK"/>
        </w:rPr>
        <w:t>.</w:t>
      </w:r>
      <w:r w:rsidRPr="006C4F07">
        <w:rPr>
          <w:rFonts w:eastAsia="Times New Roman" w:cs="Arial"/>
          <w:bCs/>
          <w:sz w:val="20"/>
          <w:szCs w:val="20"/>
          <w:lang w:eastAsia="sk-SK"/>
        </w:rPr>
        <w:tab/>
      </w:r>
    </w:p>
    <w:p w14:paraId="40242654" w14:textId="3A03FFF6" w:rsidR="00796946" w:rsidRDefault="00796946" w:rsidP="00796946">
      <w:pPr>
        <w:shd w:val="clear" w:color="auto" w:fill="FFFFFF"/>
        <w:spacing w:after="0" w:line="240" w:lineRule="auto"/>
        <w:ind w:left="6372"/>
        <w:jc w:val="both"/>
      </w:pPr>
      <w:r>
        <w:rPr>
          <w:rFonts w:eastAsia="Times New Roman" w:cs="Arial"/>
          <w:b/>
          <w:sz w:val="20"/>
          <w:szCs w:val="20"/>
          <w:lang w:eastAsia="sk-SK"/>
        </w:rPr>
        <w:t xml:space="preserve">     </w:t>
      </w:r>
    </w:p>
    <w:p w14:paraId="05DBBFA0" w14:textId="77777777" w:rsidR="00796946" w:rsidRDefault="00796946" w:rsidP="00222537">
      <w:pPr>
        <w:spacing w:after="60"/>
        <w:jc w:val="both"/>
        <w:rPr>
          <w:rFonts w:cs="Arial"/>
          <w:kern w:val="28"/>
          <w:sz w:val="20"/>
          <w:szCs w:val="20"/>
          <w:lang w:eastAsia="sk-SK"/>
        </w:rPr>
      </w:pPr>
    </w:p>
    <w:p w14:paraId="3D57F0A6" w14:textId="77777777" w:rsidR="00796946" w:rsidRDefault="00796946" w:rsidP="00222537">
      <w:pPr>
        <w:spacing w:after="60"/>
        <w:jc w:val="both"/>
        <w:rPr>
          <w:rFonts w:cs="Arial"/>
          <w:kern w:val="28"/>
          <w:sz w:val="20"/>
          <w:szCs w:val="20"/>
          <w:lang w:eastAsia="sk-SK"/>
        </w:rPr>
      </w:pPr>
      <w:bookmarkStart w:id="2" w:name="_GoBack"/>
      <w:bookmarkEnd w:id="2"/>
    </w:p>
    <w:sectPr w:rsidR="0079694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1E9B"/>
    <w:multiLevelType w:val="multilevel"/>
    <w:tmpl w:val="C2526D12"/>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901454D"/>
    <w:multiLevelType w:val="multilevel"/>
    <w:tmpl w:val="9F923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EF5088"/>
    <w:multiLevelType w:val="multilevel"/>
    <w:tmpl w:val="4D1EFF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9FF2F67"/>
    <w:multiLevelType w:val="hybridMultilevel"/>
    <w:tmpl w:val="4A5877DC"/>
    <w:lvl w:ilvl="0" w:tplc="B32C1F6E">
      <w:numFmt w:val="bullet"/>
      <w:lvlText w:val="-"/>
      <w:lvlJc w:val="left"/>
      <w:pPr>
        <w:ind w:left="720" w:hanging="360"/>
      </w:pPr>
      <w:rPr>
        <w:rFonts w:ascii="Calibri" w:eastAsiaTheme="minorHAnsi" w:hAnsi="Calibri" w:cs="Calibri" w:hint="default"/>
        <w:b w:val="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67F043C"/>
    <w:multiLevelType w:val="multilevel"/>
    <w:tmpl w:val="2BF4AE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6187422"/>
    <w:multiLevelType w:val="multilevel"/>
    <w:tmpl w:val="F18C3ECE"/>
    <w:lvl w:ilvl="0">
      <w:start w:val="1"/>
      <w:numFmt w:val="decimal"/>
      <w:lvlText w:val="%1."/>
      <w:lvlJc w:val="left"/>
      <w:pPr>
        <w:ind w:left="720" w:hanging="360"/>
      </w:pPr>
      <w:rPr>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853A5F"/>
    <w:multiLevelType w:val="multilevel"/>
    <w:tmpl w:val="3EF6D738"/>
    <w:lvl w:ilvl="0">
      <w:start w:val="1"/>
      <w:numFmt w:val="decimal"/>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483022"/>
    <w:multiLevelType w:val="multilevel"/>
    <w:tmpl w:val="A1D61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4F7F58"/>
    <w:multiLevelType w:val="multilevel"/>
    <w:tmpl w:val="6F7455A8"/>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0"/>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28"/>
    <w:rsid w:val="000162E4"/>
    <w:rsid w:val="000A2512"/>
    <w:rsid w:val="0017402B"/>
    <w:rsid w:val="00222537"/>
    <w:rsid w:val="00240AF5"/>
    <w:rsid w:val="00266961"/>
    <w:rsid w:val="002971EF"/>
    <w:rsid w:val="002C6BCF"/>
    <w:rsid w:val="00356240"/>
    <w:rsid w:val="003E4535"/>
    <w:rsid w:val="003F4E2C"/>
    <w:rsid w:val="00474ED3"/>
    <w:rsid w:val="00554F0A"/>
    <w:rsid w:val="006520B9"/>
    <w:rsid w:val="00675B01"/>
    <w:rsid w:val="006C4F07"/>
    <w:rsid w:val="00711E09"/>
    <w:rsid w:val="00712F0F"/>
    <w:rsid w:val="00735D92"/>
    <w:rsid w:val="00785449"/>
    <w:rsid w:val="00796946"/>
    <w:rsid w:val="007D2B17"/>
    <w:rsid w:val="008867F0"/>
    <w:rsid w:val="00891C02"/>
    <w:rsid w:val="009D196F"/>
    <w:rsid w:val="00B11B28"/>
    <w:rsid w:val="00B5097D"/>
    <w:rsid w:val="00B567F0"/>
    <w:rsid w:val="00D42357"/>
    <w:rsid w:val="00D66509"/>
    <w:rsid w:val="00EB431A"/>
    <w:rsid w:val="00FE5985"/>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0229F6"/>
  <w15:docId w15:val="{1E853C36-E48B-4B52-ACFC-A692251A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istLabel1">
    <w:name w:val="ListLabel 1"/>
    <w:qFormat/>
    <w:rPr>
      <w:sz w:val="20"/>
      <w:szCs w:val="20"/>
    </w:rPr>
  </w:style>
  <w:style w:type="character" w:customStyle="1" w:styleId="ListLabel2">
    <w:name w:val="ListLabel 2"/>
    <w:qFormat/>
    <w:rPr>
      <w:sz w:val="20"/>
    </w:rPr>
  </w:style>
  <w:style w:type="character" w:customStyle="1" w:styleId="ListLabel3">
    <w:name w:val="ListLabel 3"/>
    <w:qFormat/>
    <w:rPr>
      <w:rFonts w:eastAsia="Calibri" w:cs="Calibri"/>
      <w:sz w:val="20"/>
    </w:rPr>
  </w:style>
  <w:style w:type="character" w:customStyle="1" w:styleId="ListLabel4">
    <w:name w:val="ListLabel 4"/>
    <w:qFormat/>
    <w:rPr>
      <w:rFonts w:cs="Courier New"/>
    </w:rPr>
  </w:style>
  <w:style w:type="character" w:customStyle="1" w:styleId="ListLabel5">
    <w:name w:val="ListLabel 5"/>
    <w:qFormat/>
    <w:rPr>
      <w:b/>
      <w:sz w:val="20"/>
    </w:rPr>
  </w:style>
  <w:style w:type="character" w:customStyle="1" w:styleId="ListLabel6">
    <w:name w:val="ListLabel 6"/>
    <w:qFormat/>
    <w:rPr>
      <w:sz w:val="20"/>
      <w:szCs w:val="20"/>
    </w:rPr>
  </w:style>
  <w:style w:type="character" w:customStyle="1" w:styleId="ListLabel7">
    <w:name w:val="ListLabel 7"/>
    <w:qFormat/>
    <w:rPr>
      <w:sz w:val="20"/>
    </w:rPr>
  </w:style>
  <w:style w:type="character" w:customStyle="1" w:styleId="ListLabel8">
    <w:name w:val="ListLabel 8"/>
    <w:qFormat/>
    <w:rPr>
      <w:rFonts w:cs="Calibri"/>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b/>
      <w:sz w:val="20"/>
    </w:rPr>
  </w:style>
  <w:style w:type="character" w:customStyle="1" w:styleId="ListLabel18">
    <w:name w:val="ListLabel 18"/>
    <w:qFormat/>
    <w:rPr>
      <w:sz w:val="20"/>
      <w:szCs w:val="20"/>
    </w:rPr>
  </w:style>
  <w:style w:type="character" w:customStyle="1" w:styleId="ListLabel19">
    <w:name w:val="ListLabel 19"/>
    <w:qFormat/>
    <w:rPr>
      <w:sz w:val="20"/>
    </w:rPr>
  </w:style>
  <w:style w:type="character" w:customStyle="1" w:styleId="ListLabel20">
    <w:name w:val="ListLabel 20"/>
    <w:qFormat/>
    <w:rPr>
      <w:rFonts w:cs="Calibri"/>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b/>
      <w:sz w:val="20"/>
    </w:rPr>
  </w:style>
  <w:style w:type="character" w:customStyle="1" w:styleId="ListLabel30">
    <w:name w:val="ListLabel 30"/>
    <w:qFormat/>
    <w:rPr>
      <w:sz w:val="20"/>
      <w:szCs w:val="20"/>
    </w:rPr>
  </w:style>
  <w:style w:type="character" w:customStyle="1" w:styleId="ListLabel31">
    <w:name w:val="ListLabel 31"/>
    <w:qFormat/>
    <w:rPr>
      <w:sz w:val="20"/>
    </w:rPr>
  </w:style>
  <w:style w:type="character" w:customStyle="1" w:styleId="ListLabel32">
    <w:name w:val="ListLabel 32"/>
    <w:qFormat/>
    <w:rPr>
      <w:rFonts w:cs="Calibri"/>
      <w:sz w:val="20"/>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b/>
      <w:sz w:val="20"/>
    </w:rPr>
  </w:style>
  <w:style w:type="character" w:customStyle="1" w:styleId="ListLabel42">
    <w:name w:val="ListLabel 42"/>
    <w:qFormat/>
    <w:rPr>
      <w:sz w:val="20"/>
      <w:szCs w:val="20"/>
    </w:rPr>
  </w:style>
  <w:style w:type="character" w:customStyle="1" w:styleId="ListLabel43">
    <w:name w:val="ListLabel 43"/>
    <w:qFormat/>
    <w:rPr>
      <w:sz w:val="20"/>
    </w:rPr>
  </w:style>
  <w:style w:type="character" w:customStyle="1" w:styleId="ListLabel44">
    <w:name w:val="ListLabel 44"/>
    <w:qFormat/>
    <w:rPr>
      <w:rFonts w:cs="Calibri"/>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b/>
      <w:sz w:val="20"/>
    </w:rPr>
  </w:style>
  <w:style w:type="character" w:customStyle="1" w:styleId="ListLabel54">
    <w:name w:val="ListLabel 54"/>
    <w:qFormat/>
    <w:rPr>
      <w:sz w:val="20"/>
      <w:szCs w:val="20"/>
    </w:rPr>
  </w:style>
  <w:style w:type="character" w:customStyle="1" w:styleId="ListLabel55">
    <w:name w:val="ListLabel 55"/>
    <w:qFormat/>
    <w:rPr>
      <w:sz w:val="20"/>
    </w:rPr>
  </w:style>
  <w:style w:type="character" w:customStyle="1" w:styleId="ListLabel56">
    <w:name w:val="ListLabel 56"/>
    <w:qFormat/>
    <w:rPr>
      <w:rFonts w:cs="Calibri"/>
      <w:sz w:val="20"/>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b/>
      <w:sz w:val="20"/>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styleId="Odsekzoznamu">
    <w:name w:val="List Paragraph"/>
    <w:basedOn w:val="Normlny"/>
    <w:uiPriority w:val="34"/>
    <w:qFormat/>
    <w:rsid w:val="00D12887"/>
    <w:pPr>
      <w:ind w:left="720"/>
      <w:contextualSpacing/>
    </w:pPr>
  </w:style>
  <w:style w:type="paragraph" w:customStyle="1" w:styleId="Default">
    <w:name w:val="Default"/>
    <w:qFormat/>
    <w:rsid w:val="00A41D21"/>
    <w:pPr>
      <w:suppressAutoHyphens/>
    </w:pPr>
    <w:rPr>
      <w:rFonts w:ascii="Arial" w:eastAsia="Times New Roman" w:hAnsi="Arial" w:cs="Arial"/>
      <w:color w:val="000000"/>
      <w:sz w:val="24"/>
      <w:szCs w:val="24"/>
      <w:lang w:eastAsia="ar-SA"/>
    </w:rPr>
  </w:style>
  <w:style w:type="paragraph" w:customStyle="1" w:styleId="BrochureCopy">
    <w:name w:val="Brochure Copy"/>
    <w:basedOn w:val="Normlny"/>
    <w:qFormat/>
    <w:rsid w:val="00A41D21"/>
    <w:pPr>
      <w:suppressAutoHyphens/>
      <w:spacing w:after="120" w:line="300" w:lineRule="auto"/>
    </w:pPr>
    <w:rPr>
      <w:rFonts w:ascii="Calibri" w:eastAsia="Calibri" w:hAnsi="Calibri" w:cs="Calibri"/>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1600</Words>
  <Characters>9120</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Suta</dc:creator>
  <dc:description/>
  <cp:lastModifiedBy>SPMS</cp:lastModifiedBy>
  <cp:revision>3</cp:revision>
  <cp:lastPrinted>2019-10-09T15:00:00Z</cp:lastPrinted>
  <dcterms:created xsi:type="dcterms:W3CDTF">2021-04-21T08:53:00Z</dcterms:created>
  <dcterms:modified xsi:type="dcterms:W3CDTF">2021-05-12T11:48:00Z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